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447392" w14:textId="594FA15A" w:rsidR="0068285F" w:rsidRPr="0052548E" w:rsidRDefault="0068285F" w:rsidP="0068285F">
      <w:pPr>
        <w:tabs>
          <w:tab w:val="center" w:pos="4536"/>
          <w:tab w:val="right" w:pos="8280"/>
          <w:tab w:val="right" w:pos="9639"/>
        </w:tabs>
        <w:ind w:right="2"/>
        <w:rPr>
          <w:rFonts w:ascii="Arial" w:hAnsi="Arial" w:cs="Arial"/>
          <w:b/>
          <w:bCs/>
          <w:sz w:val="28"/>
        </w:rPr>
      </w:pPr>
      <w:r w:rsidRPr="006737EA">
        <w:rPr>
          <w:rFonts w:ascii="Arial" w:hAnsi="Arial" w:cs="Arial"/>
          <w:b/>
          <w:bCs/>
          <w:sz w:val="28"/>
        </w:rPr>
        <w:t>3GPP TSG RAN WG1 #96</w:t>
      </w:r>
      <w:r w:rsidRPr="006737EA">
        <w:rPr>
          <w:rFonts w:ascii="Arial" w:hAnsi="Arial" w:cs="Arial"/>
          <w:b/>
          <w:bCs/>
          <w:sz w:val="28"/>
        </w:rPr>
        <w:tab/>
      </w:r>
      <w:r w:rsidRPr="006737EA">
        <w:rPr>
          <w:rFonts w:ascii="Arial" w:hAnsi="Arial" w:cs="Arial"/>
          <w:b/>
          <w:bCs/>
          <w:sz w:val="28"/>
        </w:rPr>
        <w:tab/>
        <w:t>R1-19</w:t>
      </w:r>
      <w:r w:rsidR="00D0695E">
        <w:rPr>
          <w:rFonts w:ascii="Arial" w:hAnsi="Arial" w:cs="Arial"/>
          <w:b/>
          <w:bCs/>
          <w:sz w:val="28"/>
        </w:rPr>
        <w:t>02155</w:t>
      </w:r>
      <w:bookmarkStart w:id="0" w:name="_GoBack"/>
      <w:bookmarkEnd w:id="0"/>
    </w:p>
    <w:p w14:paraId="2A127FDB" w14:textId="77777777" w:rsidR="0068285F" w:rsidRPr="009513AC" w:rsidRDefault="0068285F" w:rsidP="0068285F">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25</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February – 1</w:t>
      </w:r>
      <w:r w:rsidRPr="008F5A3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March, 2019</w:t>
      </w:r>
    </w:p>
    <w:p w14:paraId="54C86DFB" w14:textId="77777777" w:rsidR="009C0564" w:rsidRPr="0068285F" w:rsidRDefault="009C0564" w:rsidP="00071D7D">
      <w:pPr>
        <w:pBdr>
          <w:top w:val="single" w:sz="4" w:space="1" w:color="auto"/>
        </w:pBdr>
        <w:spacing w:after="0"/>
        <w:jc w:val="left"/>
        <w:rPr>
          <w:rFonts w:ascii="Arial" w:hAnsi="Arial" w:cs="Arial"/>
          <w:b/>
          <w:kern w:val="2"/>
          <w:sz w:val="24"/>
          <w:lang w:eastAsia="zh-CN"/>
        </w:rPr>
      </w:pPr>
    </w:p>
    <w:p w14:paraId="28301472" w14:textId="0D80DCB9"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E96823">
        <w:rPr>
          <w:rFonts w:ascii="Arial" w:hAnsi="Arial" w:cs="Arial"/>
          <w:b/>
          <w:bCs/>
          <w:szCs w:val="20"/>
          <w:lang w:val="en-GB" w:eastAsia="zh-CN"/>
        </w:rPr>
        <w:t>7.</w:t>
      </w:r>
      <w:r w:rsidR="0023727C">
        <w:rPr>
          <w:rFonts w:ascii="Arial" w:hAnsi="Arial" w:cs="Arial" w:hint="eastAsia"/>
          <w:b/>
          <w:bCs/>
          <w:szCs w:val="20"/>
          <w:lang w:val="en-GB" w:eastAsia="zh-CN"/>
        </w:rPr>
        <w:t>2.3.</w:t>
      </w:r>
      <w:r w:rsidR="0023727C">
        <w:rPr>
          <w:rFonts w:ascii="Arial" w:hAnsi="Arial" w:cs="Arial"/>
          <w:b/>
          <w:bCs/>
          <w:szCs w:val="20"/>
          <w:lang w:val="en-GB" w:eastAsia="zh-CN"/>
        </w:rPr>
        <w:t>4</w:t>
      </w:r>
    </w:p>
    <w:p w14:paraId="578D2038"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5C19F722" w14:textId="36C0D92F"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610E71">
        <w:rPr>
          <w:rFonts w:ascii="Arial" w:hAnsi="Arial" w:cs="Arial" w:hint="eastAsia"/>
          <w:b/>
          <w:bCs/>
          <w:szCs w:val="20"/>
          <w:lang w:val="en-GB" w:eastAsia="zh-CN"/>
        </w:rPr>
        <w:t>Dis</w:t>
      </w:r>
      <w:r w:rsidR="00E61CE7">
        <w:rPr>
          <w:rFonts w:ascii="Arial" w:hAnsi="Arial" w:cs="Arial" w:hint="eastAsia"/>
          <w:b/>
          <w:bCs/>
          <w:szCs w:val="20"/>
          <w:lang w:val="en-GB" w:eastAsia="zh-CN"/>
        </w:rPr>
        <w:t xml:space="preserve">cussion on resource </w:t>
      </w:r>
      <w:r w:rsidR="00E61CE7">
        <w:rPr>
          <w:rFonts w:ascii="Arial" w:hAnsi="Arial" w:cs="Arial"/>
          <w:b/>
          <w:bCs/>
          <w:szCs w:val="20"/>
          <w:lang w:val="en-GB" w:eastAsia="zh-CN"/>
        </w:rPr>
        <w:t>partitioning</w:t>
      </w:r>
      <w:r w:rsidR="00610E71">
        <w:rPr>
          <w:rFonts w:ascii="Arial" w:hAnsi="Arial" w:cs="Arial" w:hint="eastAsia"/>
          <w:b/>
          <w:bCs/>
          <w:szCs w:val="20"/>
          <w:lang w:val="en-GB" w:eastAsia="zh-CN"/>
        </w:rPr>
        <w:t xml:space="preserve"> for IAB network</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1"/>
        <w:numPr>
          <w:ilvl w:val="0"/>
          <w:numId w:val="4"/>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EFCA813" w14:textId="1C015D94" w:rsidR="00BB351E" w:rsidRDefault="00900F86" w:rsidP="0023727C">
      <w:pPr>
        <w:rPr>
          <w:sz w:val="20"/>
          <w:szCs w:val="20"/>
          <w:lang w:val="en-GB" w:eastAsia="zh-CN"/>
        </w:rPr>
      </w:pPr>
      <w:r>
        <w:rPr>
          <w:rFonts w:hint="eastAsia"/>
          <w:sz w:val="20"/>
          <w:szCs w:val="20"/>
          <w:lang w:val="en-GB" w:eastAsia="zh-CN"/>
        </w:rPr>
        <w:t>This is an update of R1-190</w:t>
      </w:r>
      <w:r>
        <w:rPr>
          <w:sz w:val="20"/>
          <w:szCs w:val="20"/>
          <w:lang w:val="en-GB" w:eastAsia="zh-CN"/>
        </w:rPr>
        <w:t>0394.</w:t>
      </w:r>
    </w:p>
    <w:p w14:paraId="1C3F248B" w14:textId="7B6FC6F0" w:rsidR="00BB351E" w:rsidRPr="00BB351E" w:rsidRDefault="00BB351E" w:rsidP="0023727C">
      <w:pPr>
        <w:rPr>
          <w:sz w:val="20"/>
          <w:szCs w:val="20"/>
          <w:lang w:val="en-GB" w:eastAsia="zh-CN"/>
        </w:rPr>
      </w:pPr>
      <w:r w:rsidRPr="00BB351E">
        <w:rPr>
          <w:sz w:val="20"/>
          <w:szCs w:val="20"/>
          <w:lang w:val="en-GB" w:eastAsia="zh-CN"/>
        </w:rPr>
        <w:t>In RAN1#95 meeting, the agreements related to resource multiplexing between parent backhaul and access/child backhaul is as following:</w:t>
      </w:r>
    </w:p>
    <w:p w14:paraId="785BAD16" w14:textId="77777777" w:rsidR="00BB351E" w:rsidRPr="00BB351E" w:rsidRDefault="00BB351E" w:rsidP="00BB351E">
      <w:pPr>
        <w:autoSpaceDE/>
        <w:autoSpaceDN/>
        <w:adjustRightInd/>
        <w:snapToGrid/>
        <w:spacing w:after="0"/>
        <w:jc w:val="left"/>
        <w:rPr>
          <w:rFonts w:eastAsia="Batang"/>
          <w:b/>
          <w:sz w:val="20"/>
          <w:szCs w:val="20"/>
          <w:lang w:val="en-GB" w:eastAsia="x-none"/>
        </w:rPr>
      </w:pPr>
      <w:r w:rsidRPr="00BB351E">
        <w:rPr>
          <w:rFonts w:eastAsia="Batang"/>
          <w:sz w:val="20"/>
          <w:szCs w:val="20"/>
          <w:highlight w:val="green"/>
          <w:lang w:val="en-GB" w:eastAsia="x-none"/>
        </w:rPr>
        <w:t>Agreements</w:t>
      </w:r>
      <w:r w:rsidRPr="00BB351E">
        <w:rPr>
          <w:rFonts w:eastAsia="Batang"/>
          <w:b/>
          <w:sz w:val="20"/>
          <w:szCs w:val="20"/>
          <w:lang w:val="en-GB" w:eastAsia="x-none"/>
        </w:rPr>
        <w:t>:</w:t>
      </w:r>
    </w:p>
    <w:p w14:paraId="700C0C04" w14:textId="77777777" w:rsidR="00BB351E" w:rsidRPr="00BB351E" w:rsidRDefault="00BB351E" w:rsidP="000A5308">
      <w:pPr>
        <w:numPr>
          <w:ilvl w:val="0"/>
          <w:numId w:val="8"/>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 xml:space="preserve">Semi-static configuration should be supported for IAB node DU resources </w:t>
      </w:r>
    </w:p>
    <w:p w14:paraId="1935EC5E" w14:textId="77777777" w:rsidR="00BB351E" w:rsidRPr="00BB351E" w:rsidRDefault="00BB351E" w:rsidP="000A5308">
      <w:pPr>
        <w:numPr>
          <w:ilvl w:val="0"/>
          <w:numId w:val="8"/>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Dynamic indication (L1 signalling) to an IAB node of the availability of soft resources for an IAB node DU is supported</w:t>
      </w:r>
    </w:p>
    <w:p w14:paraId="44B98FD1" w14:textId="77777777" w:rsidR="00BB351E" w:rsidRPr="00BB351E" w:rsidRDefault="00BB351E" w:rsidP="000A5308">
      <w:pPr>
        <w:numPr>
          <w:ilvl w:val="1"/>
          <w:numId w:val="8"/>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Existing Rel.15 L1 signalling methods are the baseline for the WI phase</w:t>
      </w:r>
    </w:p>
    <w:p w14:paraId="1DCF0B36" w14:textId="77777777" w:rsidR="00BB351E" w:rsidRPr="00BB351E" w:rsidRDefault="00BB351E" w:rsidP="000A5308">
      <w:pPr>
        <w:numPr>
          <w:ilvl w:val="0"/>
          <w:numId w:val="8"/>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Potential enhancements (e.g. new slot formats), rules for DU/MT behaviour in case of conflicts across multiple hops, and processing time constraints at the IAB node are to be further considered in the WI stage.</w:t>
      </w:r>
    </w:p>
    <w:p w14:paraId="2AEDD8A1" w14:textId="77777777" w:rsidR="00BB351E" w:rsidRPr="00BB351E" w:rsidRDefault="00BB351E" w:rsidP="00BB351E">
      <w:pPr>
        <w:autoSpaceDE/>
        <w:autoSpaceDN/>
        <w:adjustRightInd/>
        <w:snapToGrid/>
        <w:spacing w:after="0"/>
        <w:jc w:val="left"/>
        <w:rPr>
          <w:rFonts w:eastAsia="Batang"/>
          <w:b/>
          <w:sz w:val="20"/>
          <w:szCs w:val="20"/>
          <w:lang w:val="en-GB" w:eastAsia="x-none"/>
        </w:rPr>
      </w:pPr>
      <w:r w:rsidRPr="00BB351E">
        <w:rPr>
          <w:rFonts w:eastAsia="Batang"/>
          <w:sz w:val="20"/>
          <w:szCs w:val="20"/>
          <w:highlight w:val="green"/>
          <w:lang w:val="en-GB" w:eastAsia="x-none"/>
        </w:rPr>
        <w:t>Agreements</w:t>
      </w:r>
      <w:r w:rsidRPr="00BB351E">
        <w:rPr>
          <w:rFonts w:eastAsia="Batang"/>
          <w:b/>
          <w:sz w:val="20"/>
          <w:szCs w:val="20"/>
          <w:lang w:val="en-GB" w:eastAsia="x-none"/>
        </w:rPr>
        <w:t>:</w:t>
      </w:r>
    </w:p>
    <w:p w14:paraId="019C734E"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Capture the following in the TR:</w:t>
      </w:r>
    </w:p>
    <w:p w14:paraId="6A003081"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 xml:space="preserve">In the tables below: </w:t>
      </w:r>
    </w:p>
    <w:p w14:paraId="2451B569" w14:textId="77777777" w:rsidR="00BB351E" w:rsidRPr="00BB351E" w:rsidRDefault="00BB351E" w:rsidP="000A5308">
      <w:pPr>
        <w:numPr>
          <w:ilvl w:val="0"/>
          <w:numId w:val="9"/>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 xml:space="preserve">“MT: Tx” means that the MT should transmit if scheduled </w:t>
      </w:r>
    </w:p>
    <w:p w14:paraId="6DA93557" w14:textId="77777777" w:rsidR="00BB351E" w:rsidRPr="00BB351E" w:rsidRDefault="00BB351E" w:rsidP="000A5308">
      <w:pPr>
        <w:numPr>
          <w:ilvl w:val="0"/>
          <w:numId w:val="9"/>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“DU: Tx” means that the DU may transmit</w:t>
      </w:r>
    </w:p>
    <w:p w14:paraId="0F702D4A" w14:textId="77777777" w:rsidR="00BB351E" w:rsidRPr="00BB351E" w:rsidRDefault="00BB351E" w:rsidP="000A5308">
      <w:pPr>
        <w:numPr>
          <w:ilvl w:val="0"/>
          <w:numId w:val="9"/>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“MT: Rx” means that the MT should be able to receive (if there is anything to receive)</w:t>
      </w:r>
    </w:p>
    <w:p w14:paraId="5D862BE6" w14:textId="77777777" w:rsidR="00BB351E" w:rsidRPr="00BB351E" w:rsidRDefault="00BB351E" w:rsidP="000A5308">
      <w:pPr>
        <w:numPr>
          <w:ilvl w:val="0"/>
          <w:numId w:val="9"/>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“DU: Rx” means that the DU may schedule uplink transmissions from child nodes or UEs</w:t>
      </w:r>
    </w:p>
    <w:p w14:paraId="7F4F0359" w14:textId="77777777" w:rsidR="00BB351E" w:rsidRPr="00BB351E" w:rsidRDefault="00BB351E" w:rsidP="000A5308">
      <w:pPr>
        <w:numPr>
          <w:ilvl w:val="0"/>
          <w:numId w:val="9"/>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“MT: Tx/Rx” means that the MT should transmit if scheduled and should be able to receive, but not simultaneously</w:t>
      </w:r>
    </w:p>
    <w:p w14:paraId="154063A6" w14:textId="77777777" w:rsidR="00BB351E" w:rsidRPr="00BB351E" w:rsidRDefault="00BB351E" w:rsidP="000A5308">
      <w:pPr>
        <w:numPr>
          <w:ilvl w:val="0"/>
          <w:numId w:val="9"/>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“DU: Tx/Rx” means that the DU may transmit and may schedule uplink transmission from child nodes and UEs, but not simultaneously</w:t>
      </w:r>
    </w:p>
    <w:p w14:paraId="623B8396" w14:textId="77777777" w:rsidR="00BB351E" w:rsidRPr="00BB351E" w:rsidRDefault="00BB351E" w:rsidP="000A5308">
      <w:pPr>
        <w:numPr>
          <w:ilvl w:val="0"/>
          <w:numId w:val="9"/>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“IA” means that the DU resource is explicitly or implicitly indicated as available</w:t>
      </w:r>
    </w:p>
    <w:p w14:paraId="2033F8BF" w14:textId="77777777" w:rsidR="00BB351E" w:rsidRPr="00BB351E" w:rsidRDefault="00BB351E" w:rsidP="000A5308">
      <w:pPr>
        <w:numPr>
          <w:ilvl w:val="0"/>
          <w:numId w:val="9"/>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“INA” means that the DU resource is explicitly or implicitly indicated as not available</w:t>
      </w:r>
    </w:p>
    <w:p w14:paraId="04DA7668" w14:textId="77777777" w:rsidR="00BB351E" w:rsidRPr="00BB351E" w:rsidRDefault="00BB351E" w:rsidP="000A5308">
      <w:pPr>
        <w:numPr>
          <w:ilvl w:val="0"/>
          <w:numId w:val="9"/>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“MT: NULL” means that the MT does not transmit and does not have to be able to receive</w:t>
      </w:r>
    </w:p>
    <w:p w14:paraId="4BFD1E0A" w14:textId="77777777" w:rsidR="00BB351E" w:rsidRPr="00BB351E" w:rsidRDefault="00BB351E" w:rsidP="000A5308">
      <w:pPr>
        <w:numPr>
          <w:ilvl w:val="0"/>
          <w:numId w:val="9"/>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“DU: NULL” means that the DU does not transmit and does not schedule uplink transmission from child nodes and UEs</w:t>
      </w:r>
    </w:p>
    <w:p w14:paraId="4876508E" w14:textId="77777777" w:rsidR="00BB351E" w:rsidRPr="00BB351E" w:rsidRDefault="00BB351E" w:rsidP="000A5308">
      <w:pPr>
        <w:numPr>
          <w:ilvl w:val="0"/>
          <w:numId w:val="9"/>
        </w:numPr>
        <w:autoSpaceDE/>
        <w:autoSpaceDN/>
        <w:adjustRightInd/>
        <w:snapToGrid/>
        <w:spacing w:before="60" w:after="0"/>
        <w:jc w:val="left"/>
        <w:rPr>
          <w:rFonts w:eastAsia="Malgun Gothic"/>
          <w:sz w:val="20"/>
          <w:szCs w:val="20"/>
          <w:lang w:val="en-GB" w:eastAsia="ko-KR"/>
        </w:rPr>
      </w:pPr>
      <w:r w:rsidRPr="00BB351E">
        <w:rPr>
          <w:rFonts w:eastAsia="Malgun Gothic"/>
          <w:sz w:val="20"/>
          <w:szCs w:val="20"/>
          <w:lang w:val="en-GB" w:eastAsia="ko-KR"/>
        </w:rPr>
        <w:t xml:space="preserve">The tables assume an IAB not capable of full-duplex operation  </w:t>
      </w:r>
    </w:p>
    <w:p w14:paraId="7DFD3924" w14:textId="77777777" w:rsidR="00BB351E" w:rsidRPr="00BB351E" w:rsidRDefault="00BB351E" w:rsidP="00BB351E">
      <w:pPr>
        <w:autoSpaceDE/>
        <w:autoSpaceDN/>
        <w:adjustRightInd/>
        <w:snapToGrid/>
        <w:spacing w:after="0"/>
        <w:jc w:val="left"/>
        <w:rPr>
          <w:rFonts w:eastAsia="Malgun Gothic"/>
          <w:sz w:val="20"/>
          <w:szCs w:val="20"/>
          <w:lang w:val="en-GB" w:eastAsia="ko-KR"/>
        </w:rPr>
      </w:pPr>
    </w:p>
    <w:p w14:paraId="768606F2"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 xml:space="preserve">In case of TDM operation, </w:t>
      </w:r>
      <w:r w:rsidRPr="00BB351E">
        <w:rPr>
          <w:rFonts w:eastAsia="Batang"/>
          <w:sz w:val="20"/>
          <w:szCs w:val="20"/>
          <w:lang w:val="en-GB"/>
        </w:rPr>
        <w:t>where there can be no simultaneous transmission in the DU and the MT, nor any simultaneous reception in the DU and the MT, the following are all the possible combinations of DU and MT behavior (signaling details are to be considered in the WI phase)</w:t>
      </w:r>
      <w:r w:rsidRPr="00BB351E">
        <w:rPr>
          <w:rFonts w:eastAsia="Malgun Gothic"/>
          <w:sz w:val="20"/>
          <w:szCs w:val="20"/>
          <w:lang w:val="en-GB"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2505"/>
        <w:gridCol w:w="2708"/>
        <w:gridCol w:w="2564"/>
      </w:tblGrid>
      <w:tr w:rsidR="00BB351E" w:rsidRPr="00BB351E" w14:paraId="100C7475" w14:textId="77777777" w:rsidTr="006A5410">
        <w:tc>
          <w:tcPr>
            <w:tcW w:w="1572" w:type="dxa"/>
            <w:vMerge w:val="restart"/>
            <w:tcBorders>
              <w:top w:val="single" w:sz="4" w:space="0" w:color="auto"/>
              <w:left w:val="single" w:sz="4" w:space="0" w:color="auto"/>
              <w:right w:val="single" w:sz="4" w:space="0" w:color="auto"/>
            </w:tcBorders>
            <w:shd w:val="clear" w:color="auto" w:fill="auto"/>
          </w:tcPr>
          <w:p w14:paraId="0EC56F46" w14:textId="77777777" w:rsidR="00BB351E" w:rsidRPr="00BB351E" w:rsidRDefault="00BB351E" w:rsidP="00BB351E">
            <w:pPr>
              <w:autoSpaceDE/>
              <w:autoSpaceDN/>
              <w:adjustRightInd/>
              <w:snapToGrid/>
              <w:spacing w:after="0"/>
              <w:jc w:val="left"/>
              <w:rPr>
                <w:rFonts w:eastAsia="Malgun Gothic"/>
                <w:b/>
                <w:sz w:val="20"/>
                <w:szCs w:val="20"/>
                <w:lang w:val="en-GB" w:eastAsia="ko-KR"/>
              </w:rPr>
            </w:pPr>
            <w:r w:rsidRPr="00BB351E">
              <w:rPr>
                <w:rFonts w:eastAsia="Malgun Gothic"/>
                <w:b/>
                <w:sz w:val="20"/>
                <w:szCs w:val="20"/>
                <w:lang w:val="en-GB" w:eastAsia="ko-KR"/>
              </w:rPr>
              <w:t>DU Configuration</w:t>
            </w:r>
          </w:p>
        </w:tc>
        <w:tc>
          <w:tcPr>
            <w:tcW w:w="8724" w:type="dxa"/>
            <w:gridSpan w:val="3"/>
            <w:tcBorders>
              <w:top w:val="single" w:sz="4" w:space="0" w:color="auto"/>
              <w:left w:val="single" w:sz="4" w:space="0" w:color="auto"/>
              <w:bottom w:val="single" w:sz="4" w:space="0" w:color="auto"/>
              <w:right w:val="single" w:sz="4" w:space="0" w:color="auto"/>
            </w:tcBorders>
            <w:shd w:val="clear" w:color="auto" w:fill="auto"/>
          </w:tcPr>
          <w:p w14:paraId="474A7F8F" w14:textId="77777777" w:rsidR="00BB351E" w:rsidRPr="00BB351E" w:rsidRDefault="00BB351E" w:rsidP="00BB351E">
            <w:pPr>
              <w:autoSpaceDE/>
              <w:autoSpaceDN/>
              <w:adjustRightInd/>
              <w:snapToGrid/>
              <w:spacing w:after="0"/>
              <w:jc w:val="left"/>
              <w:rPr>
                <w:rFonts w:eastAsia="Malgun Gothic"/>
                <w:b/>
                <w:sz w:val="20"/>
                <w:szCs w:val="20"/>
                <w:lang w:val="en-GB" w:eastAsia="ko-KR"/>
              </w:rPr>
            </w:pPr>
            <w:r w:rsidRPr="00BB351E">
              <w:rPr>
                <w:rFonts w:eastAsia="Malgun Gothic"/>
                <w:b/>
                <w:sz w:val="20"/>
                <w:szCs w:val="20"/>
                <w:lang w:val="en-GB" w:eastAsia="ko-KR"/>
              </w:rPr>
              <w:t>MT configuration</w:t>
            </w:r>
          </w:p>
        </w:tc>
      </w:tr>
      <w:tr w:rsidR="00BB351E" w:rsidRPr="00BB351E" w14:paraId="321AE0F2" w14:textId="77777777" w:rsidTr="006A5410">
        <w:tc>
          <w:tcPr>
            <w:tcW w:w="1572" w:type="dxa"/>
            <w:vMerge/>
            <w:tcBorders>
              <w:left w:val="single" w:sz="4" w:space="0" w:color="auto"/>
              <w:bottom w:val="single" w:sz="4" w:space="0" w:color="auto"/>
              <w:right w:val="single" w:sz="4" w:space="0" w:color="auto"/>
            </w:tcBorders>
            <w:shd w:val="clear" w:color="auto" w:fill="auto"/>
            <w:hideMark/>
          </w:tcPr>
          <w:p w14:paraId="48DC685F" w14:textId="77777777" w:rsidR="00BB351E" w:rsidRPr="00BB351E" w:rsidRDefault="00BB351E" w:rsidP="00BB351E">
            <w:pPr>
              <w:autoSpaceDE/>
              <w:autoSpaceDN/>
              <w:adjustRightInd/>
              <w:snapToGrid/>
              <w:spacing w:after="0"/>
              <w:jc w:val="left"/>
              <w:rPr>
                <w:rFonts w:eastAsia="Malgun Gothic"/>
                <w:b/>
                <w:sz w:val="20"/>
                <w:szCs w:val="20"/>
                <w:lang w:val="en-GB"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14:paraId="4A9CE35F"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DL</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14:paraId="7FCB8BB3"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UL</w:t>
            </w:r>
          </w:p>
        </w:tc>
        <w:tc>
          <w:tcPr>
            <w:tcW w:w="2868" w:type="dxa"/>
            <w:tcBorders>
              <w:top w:val="single" w:sz="4" w:space="0" w:color="auto"/>
              <w:left w:val="single" w:sz="4" w:space="0" w:color="auto"/>
              <w:bottom w:val="single" w:sz="4" w:space="0" w:color="auto"/>
              <w:right w:val="single" w:sz="4" w:space="0" w:color="auto"/>
            </w:tcBorders>
          </w:tcPr>
          <w:p w14:paraId="3EBB4A36"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F</w:t>
            </w:r>
          </w:p>
        </w:tc>
      </w:tr>
      <w:tr w:rsidR="00BB351E" w:rsidRPr="00BB351E" w14:paraId="63530C9D"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4C3469E6"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DL-H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1CF690F"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Tx</w:t>
            </w:r>
          </w:p>
          <w:p w14:paraId="5CFE296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D8672A4"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Tx</w:t>
            </w:r>
          </w:p>
          <w:p w14:paraId="49E8AF7B"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NULL</w:t>
            </w:r>
          </w:p>
        </w:tc>
        <w:tc>
          <w:tcPr>
            <w:tcW w:w="2868" w:type="dxa"/>
            <w:tcBorders>
              <w:top w:val="single" w:sz="4" w:space="0" w:color="auto"/>
              <w:left w:val="single" w:sz="4" w:space="0" w:color="auto"/>
              <w:bottom w:val="single" w:sz="4" w:space="0" w:color="auto"/>
              <w:right w:val="single" w:sz="4" w:space="0" w:color="auto"/>
            </w:tcBorders>
          </w:tcPr>
          <w:p w14:paraId="7EA0DA7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Tx</w:t>
            </w:r>
          </w:p>
          <w:p w14:paraId="7BEA3729"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NULL</w:t>
            </w:r>
          </w:p>
        </w:tc>
      </w:tr>
      <w:tr w:rsidR="00BB351E" w:rsidRPr="00BB351E" w14:paraId="0C2771EE"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tcPr>
          <w:p w14:paraId="0417D275"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lastRenderedPageBreak/>
              <w:t>DL-S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20F189CE"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6D40594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DU: Tx </w:t>
            </w:r>
          </w:p>
          <w:p w14:paraId="58AD265F"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MT: NULL </w:t>
            </w:r>
          </w:p>
          <w:p w14:paraId="05A5EBD9" w14:textId="77777777" w:rsidR="00BB351E" w:rsidRPr="00BB351E" w:rsidRDefault="00BB351E" w:rsidP="00BB351E">
            <w:pPr>
              <w:autoSpaceDE/>
              <w:autoSpaceDN/>
              <w:adjustRightInd/>
              <w:snapToGrid/>
              <w:spacing w:before="120" w:after="0" w:line="256" w:lineRule="auto"/>
              <w:ind w:leftChars="400" w:left="880"/>
              <w:jc w:val="left"/>
              <w:rPr>
                <w:rFonts w:eastAsia="Malgun Gothic"/>
                <w:b/>
                <w:sz w:val="20"/>
                <w:szCs w:val="20"/>
                <w:lang w:val="sv-SE" w:eastAsia="ko-KR"/>
              </w:rPr>
            </w:pPr>
          </w:p>
          <w:p w14:paraId="4955956F"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7352A69A"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DU: NULL</w:t>
            </w:r>
          </w:p>
          <w:p w14:paraId="44CE55A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3AB81313"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42C096F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DU: Tx </w:t>
            </w:r>
          </w:p>
          <w:p w14:paraId="716C847A"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NULL</w:t>
            </w:r>
          </w:p>
          <w:p w14:paraId="6B233B19" w14:textId="77777777" w:rsidR="00BB351E" w:rsidRPr="00BB351E" w:rsidRDefault="00BB351E" w:rsidP="00BB351E">
            <w:pPr>
              <w:autoSpaceDE/>
              <w:autoSpaceDN/>
              <w:adjustRightInd/>
              <w:snapToGrid/>
              <w:spacing w:before="120" w:after="0" w:line="256" w:lineRule="auto"/>
              <w:ind w:leftChars="400" w:left="880"/>
              <w:jc w:val="left"/>
              <w:rPr>
                <w:rFonts w:eastAsia="Malgun Gothic"/>
                <w:b/>
                <w:sz w:val="20"/>
                <w:szCs w:val="20"/>
                <w:lang w:val="sv-SE" w:eastAsia="ko-KR"/>
              </w:rPr>
            </w:pPr>
          </w:p>
          <w:p w14:paraId="419F14CF"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0EEE243E"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If DU: NULL</w:t>
            </w:r>
          </w:p>
          <w:p w14:paraId="60F1063C"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w:t>
            </w:r>
          </w:p>
        </w:tc>
        <w:tc>
          <w:tcPr>
            <w:tcW w:w="2868" w:type="dxa"/>
            <w:tcBorders>
              <w:top w:val="single" w:sz="4" w:space="0" w:color="auto"/>
              <w:left w:val="single" w:sz="4" w:space="0" w:color="auto"/>
              <w:bottom w:val="single" w:sz="4" w:space="0" w:color="auto"/>
              <w:right w:val="single" w:sz="4" w:space="0" w:color="auto"/>
            </w:tcBorders>
          </w:tcPr>
          <w:p w14:paraId="19890FFB"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3A36BE0A"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DU: Tx </w:t>
            </w:r>
          </w:p>
          <w:p w14:paraId="612565C4"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NULL</w:t>
            </w:r>
          </w:p>
          <w:p w14:paraId="72BDEBC3"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p>
          <w:p w14:paraId="7B0A96B1"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6043F21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If DU: NULL</w:t>
            </w:r>
          </w:p>
          <w:p w14:paraId="29AA7A6D"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Tx/Rx</w:t>
            </w:r>
          </w:p>
        </w:tc>
      </w:tr>
      <w:tr w:rsidR="00BB351E" w:rsidRPr="00BB351E" w14:paraId="33325124"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604A7221"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UL-H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23093E7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Rx</w:t>
            </w:r>
          </w:p>
          <w:p w14:paraId="34AD68D1"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7B9AE5C0"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Rx</w:t>
            </w:r>
          </w:p>
          <w:p w14:paraId="006CF010"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NULL</w:t>
            </w:r>
          </w:p>
        </w:tc>
        <w:tc>
          <w:tcPr>
            <w:tcW w:w="2868" w:type="dxa"/>
            <w:tcBorders>
              <w:top w:val="single" w:sz="4" w:space="0" w:color="auto"/>
              <w:left w:val="single" w:sz="4" w:space="0" w:color="auto"/>
              <w:bottom w:val="single" w:sz="4" w:space="0" w:color="auto"/>
              <w:right w:val="single" w:sz="4" w:space="0" w:color="auto"/>
            </w:tcBorders>
          </w:tcPr>
          <w:p w14:paraId="6E424C4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Rx</w:t>
            </w:r>
          </w:p>
          <w:p w14:paraId="00756863"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 xml:space="preserve">MT: NULL </w:t>
            </w:r>
          </w:p>
        </w:tc>
      </w:tr>
      <w:tr w:rsidR="00BB351E" w:rsidRPr="00BB351E" w14:paraId="66D64CB7"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tcPr>
          <w:p w14:paraId="2C5FAE3E"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UL-S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6DAC4F8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0674162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DU: Rx </w:t>
            </w:r>
          </w:p>
          <w:p w14:paraId="2E8263BB"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NULL</w:t>
            </w:r>
          </w:p>
          <w:p w14:paraId="5B38D20D"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p>
          <w:p w14:paraId="2DDF23C0"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646B4D39"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DU: NULL</w:t>
            </w:r>
          </w:p>
          <w:p w14:paraId="037E60B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2250501A"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7E1DBB33"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DU: Rx </w:t>
            </w:r>
          </w:p>
          <w:p w14:paraId="55A397DA"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NULL</w:t>
            </w:r>
          </w:p>
          <w:p w14:paraId="000557A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p>
          <w:p w14:paraId="6800196C"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66DC452F"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DU: NULL</w:t>
            </w:r>
          </w:p>
          <w:p w14:paraId="2B571AEE"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w:t>
            </w:r>
          </w:p>
        </w:tc>
        <w:tc>
          <w:tcPr>
            <w:tcW w:w="2868" w:type="dxa"/>
            <w:tcBorders>
              <w:top w:val="single" w:sz="4" w:space="0" w:color="auto"/>
              <w:left w:val="single" w:sz="4" w:space="0" w:color="auto"/>
              <w:bottom w:val="single" w:sz="4" w:space="0" w:color="auto"/>
              <w:right w:val="single" w:sz="4" w:space="0" w:color="auto"/>
            </w:tcBorders>
          </w:tcPr>
          <w:p w14:paraId="47B0E3CB"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681FB99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DU: Rx </w:t>
            </w:r>
          </w:p>
          <w:p w14:paraId="241F9D57"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NULL</w:t>
            </w:r>
          </w:p>
          <w:p w14:paraId="6BE3D105"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p>
          <w:p w14:paraId="1DD6926C"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4BBBF86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DU: NULL</w:t>
            </w:r>
          </w:p>
          <w:p w14:paraId="05353F9E"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Tx/Rx</w:t>
            </w:r>
          </w:p>
        </w:tc>
      </w:tr>
      <w:tr w:rsidR="00BB351E" w:rsidRPr="00BB351E" w14:paraId="57C26071"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4649EAC9"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F-H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CC106D9"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Tx/Rx</w:t>
            </w:r>
          </w:p>
          <w:p w14:paraId="343086E7"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4B41E1D"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Tx/Rx</w:t>
            </w:r>
          </w:p>
          <w:p w14:paraId="4CF42257"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NULL</w:t>
            </w:r>
          </w:p>
        </w:tc>
        <w:tc>
          <w:tcPr>
            <w:tcW w:w="2868" w:type="dxa"/>
            <w:tcBorders>
              <w:top w:val="single" w:sz="4" w:space="0" w:color="auto"/>
              <w:left w:val="single" w:sz="4" w:space="0" w:color="auto"/>
              <w:bottom w:val="single" w:sz="4" w:space="0" w:color="auto"/>
              <w:right w:val="single" w:sz="4" w:space="0" w:color="auto"/>
            </w:tcBorders>
          </w:tcPr>
          <w:p w14:paraId="4CD63B59"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Tx/Rx</w:t>
            </w:r>
          </w:p>
          <w:p w14:paraId="51AF93B5"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NULL</w:t>
            </w:r>
          </w:p>
        </w:tc>
      </w:tr>
      <w:tr w:rsidR="00BB351E" w:rsidRPr="00BB351E" w14:paraId="41AFD5ED"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tcPr>
          <w:p w14:paraId="56FAB926"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F-S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6B9DC86F"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1F1F3E2A"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DU: Tx/Rx </w:t>
            </w:r>
          </w:p>
          <w:p w14:paraId="0CA0A435"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MT: </w:t>
            </w:r>
            <w:r w:rsidRPr="00BB351E">
              <w:rPr>
                <w:rFonts w:eastAsia="Malgun Gothic"/>
                <w:sz w:val="20"/>
                <w:szCs w:val="20"/>
                <w:lang w:val="en-GB" w:eastAsia="ko-KR"/>
              </w:rPr>
              <w:t>NULL</w:t>
            </w:r>
          </w:p>
          <w:p w14:paraId="09C83BA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p>
          <w:p w14:paraId="61A54A8F"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1D2A4870"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NULL</w:t>
            </w:r>
          </w:p>
          <w:p w14:paraId="7A29A72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2AFEABC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070FFFA1"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DU: Tx/Rx</w:t>
            </w:r>
          </w:p>
          <w:p w14:paraId="0BCE8847"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NULL</w:t>
            </w:r>
          </w:p>
          <w:p w14:paraId="0D4EB58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p>
          <w:p w14:paraId="1F96DC8E"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7997E543"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NULL</w:t>
            </w:r>
          </w:p>
          <w:p w14:paraId="53432596"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w:t>
            </w:r>
          </w:p>
        </w:tc>
        <w:tc>
          <w:tcPr>
            <w:tcW w:w="2868" w:type="dxa"/>
            <w:tcBorders>
              <w:top w:val="single" w:sz="4" w:space="0" w:color="auto"/>
              <w:left w:val="single" w:sz="4" w:space="0" w:color="auto"/>
              <w:bottom w:val="single" w:sz="4" w:space="0" w:color="auto"/>
              <w:right w:val="single" w:sz="4" w:space="0" w:color="auto"/>
            </w:tcBorders>
          </w:tcPr>
          <w:p w14:paraId="5205DB3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45B779CA"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DU: Tx/Rx </w:t>
            </w:r>
          </w:p>
          <w:p w14:paraId="2AC805B0"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NULL</w:t>
            </w:r>
          </w:p>
          <w:p w14:paraId="568EF97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p>
          <w:p w14:paraId="460543D7"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53086160"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DU: NULL</w:t>
            </w:r>
          </w:p>
          <w:p w14:paraId="038C8AA7"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Tx/Rx</w:t>
            </w:r>
          </w:p>
        </w:tc>
      </w:tr>
      <w:tr w:rsidR="00BB351E" w:rsidRPr="00BB351E" w14:paraId="43C2C5D8"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tcPr>
          <w:p w14:paraId="11AEB3DA"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NA</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763661FF"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NULL</w:t>
            </w:r>
          </w:p>
          <w:p w14:paraId="1F5A6F7F"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6B74185A"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NULL</w:t>
            </w:r>
          </w:p>
          <w:p w14:paraId="5FD71DE5"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 xml:space="preserve">MT: Tx </w:t>
            </w:r>
          </w:p>
        </w:tc>
        <w:tc>
          <w:tcPr>
            <w:tcW w:w="2868" w:type="dxa"/>
            <w:tcBorders>
              <w:top w:val="single" w:sz="4" w:space="0" w:color="auto"/>
              <w:left w:val="single" w:sz="4" w:space="0" w:color="auto"/>
              <w:bottom w:val="single" w:sz="4" w:space="0" w:color="auto"/>
              <w:right w:val="single" w:sz="4" w:space="0" w:color="auto"/>
            </w:tcBorders>
          </w:tcPr>
          <w:p w14:paraId="5AA2B4EE"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NULL</w:t>
            </w:r>
          </w:p>
          <w:p w14:paraId="2F03E707"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Tx/Rx</w:t>
            </w:r>
          </w:p>
        </w:tc>
      </w:tr>
    </w:tbl>
    <w:p w14:paraId="222CC231" w14:textId="77777777" w:rsidR="00BB351E" w:rsidRPr="00BB351E" w:rsidRDefault="00BB351E" w:rsidP="00BB351E">
      <w:pPr>
        <w:autoSpaceDE/>
        <w:autoSpaceDN/>
        <w:adjustRightInd/>
        <w:snapToGrid/>
        <w:spacing w:after="0"/>
        <w:ind w:left="720"/>
        <w:jc w:val="left"/>
        <w:rPr>
          <w:rFonts w:eastAsia="Malgun Gothic"/>
          <w:sz w:val="20"/>
          <w:szCs w:val="20"/>
          <w:lang w:val="en-GB" w:eastAsia="ko-KR"/>
        </w:rPr>
      </w:pPr>
    </w:p>
    <w:p w14:paraId="2A2299A9"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In case of SDM</w:t>
      </w:r>
      <w:bookmarkStart w:id="3" w:name="_Hlk529904899"/>
      <w:r w:rsidRPr="00BB351E">
        <w:rPr>
          <w:rFonts w:eastAsia="Malgun Gothic"/>
          <w:sz w:val="20"/>
          <w:szCs w:val="20"/>
          <w:lang w:val="en-GB" w:eastAsia="ko-KR"/>
        </w:rPr>
        <w:t xml:space="preserve"> operation,</w:t>
      </w:r>
      <w:r w:rsidRPr="00BB351E">
        <w:rPr>
          <w:rFonts w:eastAsia="Batang"/>
          <w:sz w:val="20"/>
          <w:szCs w:val="20"/>
          <w:lang w:val="en-GB"/>
        </w:rPr>
        <w:t xml:space="preserve"> where there can be simultaneous transmission in the DU and the MT, alternatively simultaneous reception in the DU and the MT</w:t>
      </w:r>
      <w:bookmarkEnd w:id="3"/>
      <w:r w:rsidRPr="00BB351E">
        <w:rPr>
          <w:rFonts w:eastAsia="Batang"/>
          <w:sz w:val="20"/>
          <w:szCs w:val="20"/>
          <w:lang w:val="en-GB"/>
        </w:rPr>
        <w:t>, the following are the possible combinations of DU and MT behavior</w:t>
      </w:r>
      <w:r w:rsidRPr="00BB351E">
        <w:rPr>
          <w:rFonts w:eastAsia="Malgun Gothic"/>
          <w:sz w:val="20"/>
          <w:szCs w:val="20"/>
          <w:lang w:val="en-GB"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0"/>
        <w:gridCol w:w="2579"/>
        <w:gridCol w:w="2776"/>
        <w:gridCol w:w="2622"/>
      </w:tblGrid>
      <w:tr w:rsidR="00BB351E" w:rsidRPr="00BB351E" w14:paraId="431A924A"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0C6DA34B" w14:textId="77777777" w:rsidR="00BB351E" w:rsidRPr="00BB351E" w:rsidRDefault="00BB351E" w:rsidP="00BB351E">
            <w:pPr>
              <w:autoSpaceDE/>
              <w:autoSpaceDN/>
              <w:adjustRightInd/>
              <w:snapToGrid/>
              <w:spacing w:after="0"/>
              <w:jc w:val="left"/>
              <w:rPr>
                <w:rFonts w:eastAsia="Malgun Gothic"/>
                <w:b/>
                <w:sz w:val="20"/>
                <w:szCs w:val="20"/>
                <w:lang w:val="en-GB"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14:paraId="651E1EE1"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DL</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14:paraId="4F938524"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UL</w:t>
            </w:r>
          </w:p>
        </w:tc>
        <w:tc>
          <w:tcPr>
            <w:tcW w:w="2868" w:type="dxa"/>
            <w:tcBorders>
              <w:top w:val="single" w:sz="4" w:space="0" w:color="auto"/>
              <w:left w:val="single" w:sz="4" w:space="0" w:color="auto"/>
              <w:bottom w:val="single" w:sz="4" w:space="0" w:color="auto"/>
              <w:right w:val="single" w:sz="4" w:space="0" w:color="auto"/>
            </w:tcBorders>
          </w:tcPr>
          <w:p w14:paraId="69678307"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F</w:t>
            </w:r>
          </w:p>
        </w:tc>
      </w:tr>
      <w:tr w:rsidR="00BB351E" w:rsidRPr="00BB351E" w14:paraId="7DCEC0A6"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6D6AE630"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DL-H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390DC051"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Tx</w:t>
            </w:r>
          </w:p>
          <w:p w14:paraId="5F97A71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7F1D1A7"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Tx</w:t>
            </w:r>
          </w:p>
          <w:p w14:paraId="7304EBA0"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w:t>
            </w:r>
          </w:p>
        </w:tc>
        <w:tc>
          <w:tcPr>
            <w:tcW w:w="2868" w:type="dxa"/>
            <w:tcBorders>
              <w:top w:val="single" w:sz="4" w:space="0" w:color="auto"/>
              <w:left w:val="single" w:sz="4" w:space="0" w:color="auto"/>
              <w:bottom w:val="single" w:sz="4" w:space="0" w:color="auto"/>
              <w:right w:val="single" w:sz="4" w:space="0" w:color="auto"/>
            </w:tcBorders>
          </w:tcPr>
          <w:p w14:paraId="1ED051E9"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Tx</w:t>
            </w:r>
          </w:p>
          <w:p w14:paraId="38E329FE"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w:t>
            </w:r>
          </w:p>
        </w:tc>
      </w:tr>
      <w:tr w:rsidR="00BB351E" w:rsidRPr="00BB351E" w14:paraId="0C2BAE4B"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tcPr>
          <w:p w14:paraId="7FC1962A"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lastRenderedPageBreak/>
              <w:t>DL-S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40AABED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716757FA"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 xml:space="preserve">DU: Tx </w:t>
            </w:r>
          </w:p>
          <w:p w14:paraId="24A6FBEC"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NULL</w:t>
            </w:r>
          </w:p>
          <w:p w14:paraId="351B4801"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p>
          <w:p w14:paraId="72A61BD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6986D9E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NULL</w:t>
            </w:r>
          </w:p>
          <w:p w14:paraId="756241D1"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583D307"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sv-SE" w:eastAsia="ko-KR"/>
              </w:rPr>
              <w:t>When DU resource: IA</w:t>
            </w:r>
            <w:r w:rsidRPr="00BB351E">
              <w:rPr>
                <w:rFonts w:eastAsia="Malgun Gothic"/>
                <w:sz w:val="20"/>
                <w:szCs w:val="20"/>
                <w:lang w:val="en-GB" w:eastAsia="ko-KR"/>
              </w:rPr>
              <w:t xml:space="preserve"> </w:t>
            </w:r>
          </w:p>
          <w:p w14:paraId="3D43A72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 xml:space="preserve">DU: Tx </w:t>
            </w:r>
          </w:p>
          <w:p w14:paraId="67708DC9"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w:t>
            </w:r>
          </w:p>
          <w:p w14:paraId="63FC3335"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p>
          <w:p w14:paraId="5D455444"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47BE90A4"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DU: NULL</w:t>
            </w:r>
          </w:p>
          <w:p w14:paraId="74BFB88B"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w:t>
            </w:r>
          </w:p>
        </w:tc>
        <w:tc>
          <w:tcPr>
            <w:tcW w:w="2868" w:type="dxa"/>
            <w:tcBorders>
              <w:top w:val="single" w:sz="4" w:space="0" w:color="auto"/>
              <w:left w:val="single" w:sz="4" w:space="0" w:color="auto"/>
              <w:bottom w:val="single" w:sz="4" w:space="0" w:color="auto"/>
              <w:right w:val="single" w:sz="4" w:space="0" w:color="auto"/>
            </w:tcBorders>
          </w:tcPr>
          <w:p w14:paraId="7A17ABF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sv-SE" w:eastAsia="ko-KR"/>
              </w:rPr>
              <w:t>When DU resource: IA</w:t>
            </w:r>
            <w:r w:rsidRPr="00BB351E">
              <w:rPr>
                <w:rFonts w:eastAsia="Malgun Gothic"/>
                <w:sz w:val="20"/>
                <w:szCs w:val="20"/>
                <w:lang w:val="en-GB" w:eastAsia="ko-KR"/>
              </w:rPr>
              <w:t xml:space="preserve"> </w:t>
            </w:r>
          </w:p>
          <w:p w14:paraId="792C6210"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DU: Tx </w:t>
            </w:r>
          </w:p>
          <w:p w14:paraId="36BB0975"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Tx</w:t>
            </w:r>
          </w:p>
          <w:p w14:paraId="40669AE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p>
          <w:p w14:paraId="3B51821C"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40F93F1E"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DU: NULL</w:t>
            </w:r>
          </w:p>
          <w:p w14:paraId="34F73EA9"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Tx/Rx</w:t>
            </w:r>
          </w:p>
        </w:tc>
      </w:tr>
      <w:tr w:rsidR="00BB351E" w:rsidRPr="00BB351E" w14:paraId="338C24C9"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02CA1F02"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UL-H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1F144634"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Rx</w:t>
            </w:r>
          </w:p>
          <w:p w14:paraId="67D5EE64"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1527575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Rx</w:t>
            </w:r>
          </w:p>
          <w:p w14:paraId="214E2C07"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NULL</w:t>
            </w:r>
          </w:p>
        </w:tc>
        <w:tc>
          <w:tcPr>
            <w:tcW w:w="2868" w:type="dxa"/>
            <w:tcBorders>
              <w:top w:val="single" w:sz="4" w:space="0" w:color="auto"/>
              <w:left w:val="single" w:sz="4" w:space="0" w:color="auto"/>
              <w:bottom w:val="single" w:sz="4" w:space="0" w:color="auto"/>
              <w:right w:val="single" w:sz="4" w:space="0" w:color="auto"/>
            </w:tcBorders>
          </w:tcPr>
          <w:p w14:paraId="4EFBBB5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Rx</w:t>
            </w:r>
          </w:p>
          <w:p w14:paraId="2A4EFEA7"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Rx</w:t>
            </w:r>
          </w:p>
        </w:tc>
      </w:tr>
      <w:tr w:rsidR="00BB351E" w:rsidRPr="00BB351E" w14:paraId="1187CEF3"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tcPr>
          <w:p w14:paraId="226BFDE0"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UL-S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23F73F7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5F4A5779"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DU: Rx </w:t>
            </w:r>
          </w:p>
          <w:p w14:paraId="420AB35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Rx</w:t>
            </w:r>
          </w:p>
          <w:p w14:paraId="2F8F108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p>
          <w:p w14:paraId="1E792764"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28E8EAD7"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DU: NULL</w:t>
            </w:r>
          </w:p>
          <w:p w14:paraId="0A8606D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52C0F33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4F3F7D04"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 xml:space="preserve">DU: Rx </w:t>
            </w:r>
          </w:p>
          <w:p w14:paraId="51ABDBD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NULL</w:t>
            </w:r>
          </w:p>
          <w:p w14:paraId="491DBBB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p>
          <w:p w14:paraId="14B6676B"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34AA3FD9"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DU: NULL</w:t>
            </w:r>
          </w:p>
          <w:p w14:paraId="026048B8"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w:t>
            </w:r>
          </w:p>
        </w:tc>
        <w:tc>
          <w:tcPr>
            <w:tcW w:w="2868" w:type="dxa"/>
            <w:tcBorders>
              <w:top w:val="single" w:sz="4" w:space="0" w:color="auto"/>
              <w:left w:val="single" w:sz="4" w:space="0" w:color="auto"/>
              <w:bottom w:val="single" w:sz="4" w:space="0" w:color="auto"/>
              <w:right w:val="single" w:sz="4" w:space="0" w:color="auto"/>
            </w:tcBorders>
          </w:tcPr>
          <w:p w14:paraId="42D26900"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1D12FAA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 xml:space="preserve">DU: Rx (only if MT is Rx and the DU knows that ahead of time) </w:t>
            </w:r>
          </w:p>
          <w:p w14:paraId="7C266E05"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Rx</w:t>
            </w:r>
          </w:p>
          <w:p w14:paraId="6957AD1A"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p>
          <w:p w14:paraId="63989EE0"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7113EECF"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DU: NULL</w:t>
            </w:r>
          </w:p>
          <w:p w14:paraId="24BD6992"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Tx/Rx</w:t>
            </w:r>
          </w:p>
        </w:tc>
      </w:tr>
      <w:tr w:rsidR="00BB351E" w:rsidRPr="00BB351E" w14:paraId="3C28898F"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hideMark/>
          </w:tcPr>
          <w:p w14:paraId="221AE9A4"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F-H</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7D81F63E"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Tx/Rx</w:t>
            </w:r>
          </w:p>
          <w:p w14:paraId="7DD0952B"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Rx (only if DU is Rx and the parent DU is aware in advance)</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5F77B25"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Tx/Rx</w:t>
            </w:r>
          </w:p>
          <w:p w14:paraId="423C2344"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 (only if DU is Tx and the parent is aware in advance)</w:t>
            </w:r>
          </w:p>
        </w:tc>
        <w:tc>
          <w:tcPr>
            <w:tcW w:w="2868" w:type="dxa"/>
            <w:tcBorders>
              <w:top w:val="single" w:sz="4" w:space="0" w:color="auto"/>
              <w:left w:val="single" w:sz="4" w:space="0" w:color="auto"/>
              <w:bottom w:val="single" w:sz="4" w:space="0" w:color="auto"/>
              <w:right w:val="single" w:sz="4" w:space="0" w:color="auto"/>
            </w:tcBorders>
          </w:tcPr>
          <w:p w14:paraId="1821C5F7"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Tx/Rx</w:t>
            </w:r>
          </w:p>
          <w:p w14:paraId="62B45B89"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 (only if DU is Tx and the parent DU knows that ahead of time), Rx (only if DU is Rx and the parent DU is aware in advance)</w:t>
            </w:r>
          </w:p>
        </w:tc>
      </w:tr>
      <w:tr w:rsidR="00BB351E" w:rsidRPr="00BB351E" w14:paraId="58C2F2B2"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tcPr>
          <w:p w14:paraId="7A321746"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t>F-S</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6EB3E0F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IA</w:t>
            </w:r>
          </w:p>
          <w:p w14:paraId="05C9A25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 xml:space="preserve">DU: Tx/Rx </w:t>
            </w:r>
          </w:p>
          <w:p w14:paraId="2364E7C0"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Rx (only if DU is Rx and the parent DU is aware in advance)*</w:t>
            </w:r>
          </w:p>
          <w:p w14:paraId="711B80EC"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p>
          <w:p w14:paraId="472DC536"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41F37C9D"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NULL</w:t>
            </w:r>
          </w:p>
          <w:p w14:paraId="35005E44"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lastRenderedPageBreak/>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6A2D1843"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lastRenderedPageBreak/>
              <w:t>When DU resource: IA</w:t>
            </w:r>
          </w:p>
          <w:p w14:paraId="5F08C011"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Tx/Rx</w:t>
            </w:r>
          </w:p>
          <w:p w14:paraId="6DBD446F"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 (only if DU is Tx and the parent DU is aware in advance)</w:t>
            </w:r>
          </w:p>
          <w:p w14:paraId="10F7449F"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p>
          <w:p w14:paraId="7910499F"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When DU resource: INA</w:t>
            </w:r>
          </w:p>
          <w:p w14:paraId="00E54C01"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NULL</w:t>
            </w:r>
          </w:p>
          <w:p w14:paraId="77A183EC"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lastRenderedPageBreak/>
              <w:t>MT: Tx</w:t>
            </w:r>
          </w:p>
        </w:tc>
        <w:tc>
          <w:tcPr>
            <w:tcW w:w="2868" w:type="dxa"/>
            <w:tcBorders>
              <w:top w:val="single" w:sz="4" w:space="0" w:color="auto"/>
              <w:left w:val="single" w:sz="4" w:space="0" w:color="auto"/>
              <w:bottom w:val="single" w:sz="4" w:space="0" w:color="auto"/>
              <w:right w:val="single" w:sz="4" w:space="0" w:color="auto"/>
            </w:tcBorders>
          </w:tcPr>
          <w:p w14:paraId="0A4EF278"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lastRenderedPageBreak/>
              <w:t>When DU resource: IA</w:t>
            </w:r>
          </w:p>
          <w:p w14:paraId="11B89CAB"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 xml:space="preserve">DU: Tx/Rx </w:t>
            </w:r>
          </w:p>
          <w:p w14:paraId="725F1300"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 (only if DU is Tx and the parent DU knows that ahead of time), Rx (only if DU is Rx and the parent DU is aware in advance)</w:t>
            </w:r>
          </w:p>
          <w:p w14:paraId="4468E0C2"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en-GB" w:eastAsia="ko-KR"/>
              </w:rPr>
            </w:pPr>
          </w:p>
          <w:p w14:paraId="068352C3"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lastRenderedPageBreak/>
              <w:t>When DU resource: INA</w:t>
            </w:r>
          </w:p>
          <w:p w14:paraId="770AC5F9" w14:textId="77777777" w:rsidR="00BB351E" w:rsidRPr="00BB351E" w:rsidRDefault="00BB351E" w:rsidP="00BB351E">
            <w:pPr>
              <w:autoSpaceDE/>
              <w:autoSpaceDN/>
              <w:adjustRightInd/>
              <w:snapToGrid/>
              <w:spacing w:before="120" w:after="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DU: NULL</w:t>
            </w:r>
          </w:p>
          <w:p w14:paraId="7359D811"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sv-SE" w:eastAsia="ko-KR"/>
              </w:rPr>
            </w:pPr>
            <w:r w:rsidRPr="00BB351E">
              <w:rPr>
                <w:rFonts w:eastAsia="Malgun Gothic"/>
                <w:sz w:val="20"/>
                <w:szCs w:val="20"/>
                <w:lang w:val="sv-SE" w:eastAsia="ko-KR"/>
              </w:rPr>
              <w:t>MT: Tx/Rx</w:t>
            </w:r>
          </w:p>
        </w:tc>
      </w:tr>
      <w:tr w:rsidR="00BB351E" w:rsidRPr="00BB351E" w14:paraId="626F714A" w14:textId="77777777" w:rsidTr="006A5410">
        <w:tc>
          <w:tcPr>
            <w:tcW w:w="1572" w:type="dxa"/>
            <w:tcBorders>
              <w:top w:val="single" w:sz="4" w:space="0" w:color="auto"/>
              <w:left w:val="single" w:sz="4" w:space="0" w:color="auto"/>
              <w:bottom w:val="single" w:sz="4" w:space="0" w:color="auto"/>
              <w:right w:val="single" w:sz="4" w:space="0" w:color="auto"/>
            </w:tcBorders>
            <w:shd w:val="clear" w:color="auto" w:fill="auto"/>
          </w:tcPr>
          <w:p w14:paraId="49E56D81" w14:textId="77777777" w:rsidR="00BB351E" w:rsidRPr="00BB351E" w:rsidRDefault="00BB351E" w:rsidP="00BB351E">
            <w:pPr>
              <w:autoSpaceDE/>
              <w:autoSpaceDN/>
              <w:adjustRightInd/>
              <w:snapToGrid/>
              <w:spacing w:after="0"/>
              <w:jc w:val="left"/>
              <w:rPr>
                <w:rFonts w:eastAsia="Malgun Gothic"/>
                <w:sz w:val="20"/>
                <w:szCs w:val="20"/>
                <w:lang w:val="en-GB" w:eastAsia="ko-KR"/>
              </w:rPr>
            </w:pPr>
            <w:r w:rsidRPr="00BB351E">
              <w:rPr>
                <w:rFonts w:eastAsia="Malgun Gothic"/>
                <w:sz w:val="20"/>
                <w:szCs w:val="20"/>
                <w:lang w:val="en-GB" w:eastAsia="ko-KR"/>
              </w:rPr>
              <w:lastRenderedPageBreak/>
              <w:t>NA</w:t>
            </w:r>
          </w:p>
        </w:tc>
        <w:tc>
          <w:tcPr>
            <w:tcW w:w="2785" w:type="dxa"/>
            <w:tcBorders>
              <w:top w:val="single" w:sz="4" w:space="0" w:color="auto"/>
              <w:left w:val="single" w:sz="4" w:space="0" w:color="auto"/>
              <w:bottom w:val="single" w:sz="4" w:space="0" w:color="auto"/>
              <w:right w:val="single" w:sz="4" w:space="0" w:color="auto"/>
            </w:tcBorders>
            <w:shd w:val="clear" w:color="auto" w:fill="auto"/>
          </w:tcPr>
          <w:p w14:paraId="01A6DBB6"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NULL</w:t>
            </w:r>
          </w:p>
          <w:p w14:paraId="79479387"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14:paraId="49F3AE03"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NULL</w:t>
            </w:r>
          </w:p>
          <w:p w14:paraId="246773CC"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 xml:space="preserve">MT: Tx </w:t>
            </w:r>
          </w:p>
        </w:tc>
        <w:tc>
          <w:tcPr>
            <w:tcW w:w="2868" w:type="dxa"/>
            <w:tcBorders>
              <w:top w:val="single" w:sz="4" w:space="0" w:color="auto"/>
              <w:left w:val="single" w:sz="4" w:space="0" w:color="auto"/>
              <w:bottom w:val="single" w:sz="4" w:space="0" w:color="auto"/>
              <w:right w:val="single" w:sz="4" w:space="0" w:color="auto"/>
            </w:tcBorders>
          </w:tcPr>
          <w:p w14:paraId="2FD21042"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DU: NULL</w:t>
            </w:r>
          </w:p>
          <w:p w14:paraId="28C681D4" w14:textId="77777777" w:rsidR="00BB351E" w:rsidRPr="00BB351E" w:rsidRDefault="00BB351E" w:rsidP="00BB351E">
            <w:pPr>
              <w:autoSpaceDE/>
              <w:autoSpaceDN/>
              <w:adjustRightInd/>
              <w:snapToGrid/>
              <w:spacing w:after="160" w:line="256" w:lineRule="auto"/>
              <w:ind w:leftChars="400" w:left="880"/>
              <w:jc w:val="left"/>
              <w:rPr>
                <w:rFonts w:eastAsia="Malgun Gothic"/>
                <w:sz w:val="20"/>
                <w:szCs w:val="20"/>
                <w:lang w:val="en-GB" w:eastAsia="ko-KR"/>
              </w:rPr>
            </w:pPr>
            <w:r w:rsidRPr="00BB351E">
              <w:rPr>
                <w:rFonts w:eastAsia="Malgun Gothic"/>
                <w:sz w:val="20"/>
                <w:szCs w:val="20"/>
                <w:lang w:val="en-GB" w:eastAsia="ko-KR"/>
              </w:rPr>
              <w:t>MT: Tx/Rx</w:t>
            </w:r>
          </w:p>
        </w:tc>
      </w:tr>
    </w:tbl>
    <w:p w14:paraId="18C7E32A" w14:textId="0DA584EB" w:rsidR="00BB351E" w:rsidRDefault="00BB351E" w:rsidP="0023727C">
      <w:pPr>
        <w:rPr>
          <w:sz w:val="20"/>
          <w:szCs w:val="20"/>
          <w:lang w:val="en-GB" w:eastAsia="zh-CN"/>
        </w:rPr>
      </w:pPr>
    </w:p>
    <w:p w14:paraId="75A65B47" w14:textId="57E1055E" w:rsidR="007B5E54" w:rsidRPr="00711EA0" w:rsidRDefault="007B5E54" w:rsidP="0023727C">
      <w:pPr>
        <w:rPr>
          <w:sz w:val="20"/>
          <w:szCs w:val="20"/>
          <w:lang w:val="en-GB" w:eastAsia="zh-CN"/>
        </w:rPr>
      </w:pPr>
      <w:r>
        <w:rPr>
          <w:rFonts w:hint="eastAsia"/>
          <w:sz w:val="20"/>
          <w:szCs w:val="20"/>
          <w:lang w:val="en-GB" w:eastAsia="zh-CN"/>
        </w:rPr>
        <w:t xml:space="preserve">In RAN1 NR AH#1901, agreements related to resource multiplexing between </w:t>
      </w:r>
      <w:r>
        <w:rPr>
          <w:sz w:val="20"/>
          <w:szCs w:val="20"/>
          <w:lang w:val="en-GB" w:eastAsia="zh-CN"/>
        </w:rPr>
        <w:t>backhaul</w:t>
      </w:r>
      <w:r>
        <w:rPr>
          <w:rFonts w:hint="eastAsia"/>
          <w:sz w:val="20"/>
          <w:szCs w:val="20"/>
          <w:lang w:val="en-GB" w:eastAsia="zh-CN"/>
        </w:rPr>
        <w:t xml:space="preserve"> </w:t>
      </w:r>
      <w:r>
        <w:rPr>
          <w:sz w:val="20"/>
          <w:szCs w:val="20"/>
          <w:lang w:val="en-GB" w:eastAsia="zh-CN"/>
        </w:rPr>
        <w:t>and access link are as following:</w:t>
      </w:r>
    </w:p>
    <w:p w14:paraId="3031ABD9" w14:textId="77777777" w:rsidR="007B5E54" w:rsidRPr="00711EA0" w:rsidRDefault="007B5E54" w:rsidP="007B5E54">
      <w:pPr>
        <w:rPr>
          <w:sz w:val="20"/>
          <w:szCs w:val="20"/>
          <w:lang w:eastAsia="x-none"/>
        </w:rPr>
      </w:pPr>
      <w:r w:rsidRPr="00711EA0">
        <w:rPr>
          <w:sz w:val="20"/>
          <w:szCs w:val="20"/>
          <w:highlight w:val="green"/>
          <w:lang w:eastAsia="x-none"/>
        </w:rPr>
        <w:t>Agreements</w:t>
      </w:r>
      <w:r w:rsidRPr="00711EA0">
        <w:rPr>
          <w:sz w:val="20"/>
          <w:szCs w:val="20"/>
          <w:lang w:eastAsia="x-none"/>
        </w:rPr>
        <w:t>:</w:t>
      </w:r>
    </w:p>
    <w:p w14:paraId="7C9A5DD3" w14:textId="77777777" w:rsidR="007B5E54" w:rsidRPr="00711EA0" w:rsidRDefault="007B5E54" w:rsidP="007B5E54">
      <w:pPr>
        <w:rPr>
          <w:sz w:val="20"/>
          <w:szCs w:val="20"/>
        </w:rPr>
      </w:pPr>
      <w:r w:rsidRPr="00711EA0">
        <w:rPr>
          <w:sz w:val="20"/>
          <w:szCs w:val="20"/>
          <w:lang w:eastAsia="x-none"/>
        </w:rPr>
        <w:br w:type="page"/>
      </w:r>
      <w:r w:rsidRPr="00711EA0">
        <w:rPr>
          <w:sz w:val="20"/>
          <w:szCs w:val="20"/>
        </w:rPr>
        <w:lastRenderedPageBreak/>
        <w:t>At least existing resource definitions (D/U/F) and semi-static and dynamic signaling methods defined in Rel-15 for access UEs are reused for configuration and indication of MT resources to be used by the backhaul link between the IAB node and its parent.</w:t>
      </w:r>
    </w:p>
    <w:p w14:paraId="490E581F" w14:textId="77777777" w:rsidR="007B5E54" w:rsidRPr="00711EA0" w:rsidRDefault="007B5E54" w:rsidP="000A5308">
      <w:pPr>
        <w:numPr>
          <w:ilvl w:val="0"/>
          <w:numId w:val="10"/>
        </w:numPr>
        <w:autoSpaceDE/>
        <w:autoSpaceDN/>
        <w:adjustRightInd/>
        <w:snapToGrid/>
        <w:spacing w:before="60"/>
        <w:rPr>
          <w:sz w:val="20"/>
          <w:szCs w:val="20"/>
        </w:rPr>
      </w:pPr>
      <w:r w:rsidRPr="00711EA0">
        <w:rPr>
          <w:sz w:val="20"/>
          <w:szCs w:val="20"/>
        </w:rPr>
        <w:t>FFS details</w:t>
      </w:r>
    </w:p>
    <w:p w14:paraId="2275C9A8" w14:textId="77777777" w:rsidR="007B5E54" w:rsidRPr="00711EA0" w:rsidRDefault="007B5E54" w:rsidP="007B5E54">
      <w:pPr>
        <w:rPr>
          <w:sz w:val="20"/>
          <w:szCs w:val="20"/>
          <w:lang w:eastAsia="x-none"/>
        </w:rPr>
      </w:pPr>
      <w:r w:rsidRPr="00711EA0">
        <w:rPr>
          <w:sz w:val="20"/>
          <w:szCs w:val="20"/>
          <w:highlight w:val="green"/>
          <w:lang w:eastAsia="x-none"/>
        </w:rPr>
        <w:t>Agreements</w:t>
      </w:r>
      <w:r w:rsidRPr="00711EA0">
        <w:rPr>
          <w:sz w:val="20"/>
          <w:szCs w:val="20"/>
          <w:lang w:eastAsia="x-none"/>
        </w:rPr>
        <w:t>:</w:t>
      </w:r>
    </w:p>
    <w:p w14:paraId="1BC5FA31" w14:textId="77777777" w:rsidR="007B5E54" w:rsidRPr="00711EA0" w:rsidRDefault="007B5E54" w:rsidP="007B5E54">
      <w:pPr>
        <w:rPr>
          <w:sz w:val="20"/>
          <w:szCs w:val="20"/>
        </w:rPr>
      </w:pPr>
      <w:r w:rsidRPr="00711EA0">
        <w:rPr>
          <w:sz w:val="20"/>
          <w:szCs w:val="20"/>
        </w:rPr>
        <w:t>IAB-node/IAB-donor DU resources are provided by a semi-static configuration which is provided separately from the MT resource indication</w:t>
      </w:r>
    </w:p>
    <w:p w14:paraId="151BDA35" w14:textId="77777777" w:rsidR="007B5E54" w:rsidRPr="00711EA0" w:rsidRDefault="007B5E54" w:rsidP="000A5308">
      <w:pPr>
        <w:numPr>
          <w:ilvl w:val="0"/>
          <w:numId w:val="10"/>
        </w:numPr>
        <w:autoSpaceDE/>
        <w:autoSpaceDN/>
        <w:adjustRightInd/>
        <w:snapToGrid/>
        <w:spacing w:before="60"/>
        <w:rPr>
          <w:sz w:val="20"/>
          <w:szCs w:val="20"/>
        </w:rPr>
      </w:pPr>
      <w:r w:rsidRPr="00711EA0">
        <w:rPr>
          <w:sz w:val="20"/>
          <w:szCs w:val="20"/>
        </w:rPr>
        <w:t xml:space="preserve">FFS: whether the configuration is per-link or per-DU </w:t>
      </w:r>
    </w:p>
    <w:p w14:paraId="688EE3C4" w14:textId="77777777" w:rsidR="007B5E54" w:rsidRPr="00711EA0" w:rsidRDefault="007B5E54" w:rsidP="000A5308">
      <w:pPr>
        <w:numPr>
          <w:ilvl w:val="0"/>
          <w:numId w:val="10"/>
        </w:numPr>
        <w:autoSpaceDE/>
        <w:autoSpaceDN/>
        <w:adjustRightInd/>
        <w:snapToGrid/>
        <w:spacing w:before="60"/>
        <w:rPr>
          <w:sz w:val="20"/>
          <w:szCs w:val="20"/>
        </w:rPr>
      </w:pPr>
      <w:r w:rsidRPr="00711EA0">
        <w:rPr>
          <w:sz w:val="20"/>
          <w:szCs w:val="20"/>
        </w:rPr>
        <w:t>FFS: details for the configuration</w:t>
      </w:r>
    </w:p>
    <w:p w14:paraId="32E42DAD" w14:textId="77777777" w:rsidR="007B5E54" w:rsidRPr="00711EA0" w:rsidRDefault="007B5E54" w:rsidP="007B5E54">
      <w:pPr>
        <w:rPr>
          <w:sz w:val="20"/>
          <w:szCs w:val="20"/>
          <w:lang w:eastAsia="x-none"/>
        </w:rPr>
      </w:pPr>
      <w:r w:rsidRPr="00711EA0">
        <w:rPr>
          <w:sz w:val="20"/>
          <w:szCs w:val="20"/>
          <w:highlight w:val="green"/>
          <w:lang w:eastAsia="x-none"/>
        </w:rPr>
        <w:t>Agreements</w:t>
      </w:r>
      <w:r w:rsidRPr="00711EA0">
        <w:rPr>
          <w:sz w:val="20"/>
          <w:szCs w:val="20"/>
          <w:lang w:eastAsia="x-none"/>
        </w:rPr>
        <w:t>:</w:t>
      </w:r>
    </w:p>
    <w:p w14:paraId="76B90888" w14:textId="77777777" w:rsidR="007B5E54" w:rsidRPr="00711EA0" w:rsidRDefault="007B5E54" w:rsidP="007B5E54">
      <w:pPr>
        <w:rPr>
          <w:sz w:val="20"/>
          <w:szCs w:val="20"/>
        </w:rPr>
      </w:pPr>
      <w:r w:rsidRPr="00711EA0">
        <w:rPr>
          <w:sz w:val="20"/>
          <w:szCs w:val="20"/>
        </w:rPr>
        <w:t>Support indication of the dynamic availability of soft resources at an IAB node from a parent</w:t>
      </w:r>
    </w:p>
    <w:p w14:paraId="33893C92" w14:textId="77777777" w:rsidR="007B5E54" w:rsidRPr="00711EA0" w:rsidRDefault="007B5E54" w:rsidP="000A5308">
      <w:pPr>
        <w:numPr>
          <w:ilvl w:val="0"/>
          <w:numId w:val="11"/>
        </w:numPr>
        <w:autoSpaceDE/>
        <w:autoSpaceDN/>
        <w:adjustRightInd/>
        <w:snapToGrid/>
        <w:spacing w:after="0"/>
        <w:jc w:val="left"/>
        <w:rPr>
          <w:sz w:val="20"/>
          <w:szCs w:val="20"/>
        </w:rPr>
      </w:pPr>
      <w:r w:rsidRPr="00711EA0">
        <w:rPr>
          <w:sz w:val="20"/>
          <w:szCs w:val="20"/>
        </w:rPr>
        <w:t>FFS details, including explicit vs. implicit indication</w:t>
      </w:r>
    </w:p>
    <w:p w14:paraId="32E58DEC" w14:textId="77777777" w:rsidR="007B5E54" w:rsidRPr="00711EA0" w:rsidRDefault="007B5E54" w:rsidP="007B5E54">
      <w:pPr>
        <w:rPr>
          <w:sz w:val="20"/>
          <w:szCs w:val="20"/>
          <w:lang w:eastAsia="x-none"/>
        </w:rPr>
      </w:pPr>
    </w:p>
    <w:p w14:paraId="0FF1CA76" w14:textId="450BA911" w:rsidR="0023727C" w:rsidRPr="00BB351E" w:rsidRDefault="00314D5B" w:rsidP="0023727C">
      <w:pPr>
        <w:rPr>
          <w:sz w:val="20"/>
          <w:szCs w:val="20"/>
          <w:lang w:val="en-GB" w:eastAsia="zh-CN"/>
        </w:rPr>
      </w:pPr>
      <w:r w:rsidRPr="00BB351E">
        <w:rPr>
          <w:sz w:val="20"/>
          <w:szCs w:val="20"/>
          <w:lang w:val="en-GB" w:eastAsia="zh-CN"/>
        </w:rPr>
        <w:t>In this contribution, we focus on the resource partitioning between parent backhaul and access/child backhaul link.</w:t>
      </w:r>
    </w:p>
    <w:p w14:paraId="53A2C3CE" w14:textId="60FD3858" w:rsidR="00F61183" w:rsidRDefault="00C82BDC" w:rsidP="003203E1">
      <w:pPr>
        <w:pStyle w:val="1"/>
        <w:numPr>
          <w:ilvl w:val="0"/>
          <w:numId w:val="4"/>
        </w:numPr>
        <w:rPr>
          <w:rFonts w:ascii="Arial" w:hAnsi="Arial" w:cs="Arial"/>
          <w:lang w:eastAsia="zh-CN"/>
        </w:rPr>
      </w:pPr>
      <w:r>
        <w:rPr>
          <w:rFonts w:ascii="Arial" w:hAnsi="Arial" w:cs="Arial"/>
          <w:lang w:eastAsia="zh-CN"/>
        </w:rPr>
        <w:t>Discussion</w:t>
      </w:r>
    </w:p>
    <w:p w14:paraId="6D677835" w14:textId="4D315CF3" w:rsidR="00493985" w:rsidRPr="00493985" w:rsidRDefault="00493985" w:rsidP="00493985">
      <w:pPr>
        <w:pStyle w:val="2"/>
        <w:numPr>
          <w:ilvl w:val="1"/>
          <w:numId w:val="4"/>
        </w:numPr>
        <w:rPr>
          <w:rFonts w:ascii="Arial" w:hAnsi="Arial" w:cs="Arial"/>
          <w:lang w:eastAsia="zh-CN"/>
        </w:rPr>
      </w:pPr>
      <w:r w:rsidRPr="00493985">
        <w:rPr>
          <w:rFonts w:ascii="Arial" w:hAnsi="Arial" w:cs="Arial" w:hint="eastAsia"/>
          <w:lang w:eastAsia="zh-CN"/>
        </w:rPr>
        <w:t>Resource indication to MT</w:t>
      </w:r>
    </w:p>
    <w:p w14:paraId="79C7BA01" w14:textId="6124289E" w:rsidR="00493985" w:rsidRPr="00050E7A" w:rsidRDefault="004F1E50" w:rsidP="00493985">
      <w:pPr>
        <w:rPr>
          <w:sz w:val="20"/>
          <w:szCs w:val="20"/>
          <w:lang w:eastAsia="zh-CN"/>
        </w:rPr>
      </w:pPr>
      <w:r w:rsidRPr="00050E7A">
        <w:rPr>
          <w:rFonts w:hint="eastAsia"/>
          <w:sz w:val="20"/>
          <w:szCs w:val="20"/>
          <w:lang w:eastAsia="zh-CN"/>
        </w:rPr>
        <w:t xml:space="preserve">For both semi-static and dynamic resource indication to MT, a time domain </w:t>
      </w:r>
      <w:r w:rsidRPr="00050E7A">
        <w:rPr>
          <w:sz w:val="20"/>
          <w:szCs w:val="20"/>
          <w:lang w:eastAsia="zh-CN"/>
        </w:rPr>
        <w:t>resource</w:t>
      </w:r>
      <w:r w:rsidRPr="00050E7A">
        <w:rPr>
          <w:rFonts w:hint="eastAsia"/>
          <w:sz w:val="20"/>
          <w:szCs w:val="20"/>
          <w:lang w:eastAsia="zh-CN"/>
        </w:rPr>
        <w:t xml:space="preserve"> </w:t>
      </w:r>
      <w:r w:rsidRPr="00050E7A">
        <w:rPr>
          <w:sz w:val="20"/>
          <w:szCs w:val="20"/>
          <w:lang w:eastAsia="zh-CN"/>
        </w:rPr>
        <w:t xml:space="preserve">indicated as “F” can be used to indicate neither transmission nor reception for the MT. This can be based on NR R15 specification. Regarding whether a new state is necessary to indicate whether the time domain resource indicated as “F” can be used for the DU part of the same IAB node, there is already agreement on separate resource configuration for DU part, so the additional new state seems not necessary, as long as there is consistent configuration for the MT part and the DU part of the same IAB node. Here “consistent” means that if a time domain resource is allocated to the DU part, then it is indicated to be “F” to the MT part of the same IAB node for TDM case. </w:t>
      </w:r>
    </w:p>
    <w:p w14:paraId="30C6F107" w14:textId="383D9D06" w:rsidR="004F1E50" w:rsidRDefault="004F1E50" w:rsidP="00493985">
      <w:pPr>
        <w:rPr>
          <w:b/>
          <w:i/>
          <w:sz w:val="20"/>
          <w:szCs w:val="20"/>
          <w:lang w:eastAsia="zh-CN"/>
        </w:rPr>
      </w:pPr>
      <w:r w:rsidRPr="00050E7A">
        <w:rPr>
          <w:b/>
          <w:i/>
          <w:sz w:val="20"/>
          <w:szCs w:val="20"/>
          <w:lang w:eastAsia="zh-CN"/>
        </w:rPr>
        <w:t xml:space="preserve">Proposal 1: </w:t>
      </w:r>
      <w:r w:rsidR="00777C5A">
        <w:rPr>
          <w:b/>
          <w:i/>
          <w:sz w:val="20"/>
          <w:szCs w:val="20"/>
          <w:lang w:eastAsia="zh-CN"/>
        </w:rPr>
        <w:t>Three states- DL, UL, flexible indicated to MT for resource indication is enough i</w:t>
      </w:r>
      <w:r w:rsidRPr="00050E7A">
        <w:rPr>
          <w:b/>
          <w:i/>
          <w:sz w:val="20"/>
          <w:szCs w:val="20"/>
          <w:lang w:eastAsia="zh-CN"/>
        </w:rPr>
        <w:t>f there is separate resource configuration for the DU part of the same IAB node.</w:t>
      </w:r>
    </w:p>
    <w:p w14:paraId="39549426" w14:textId="3066BA8C" w:rsidR="00493985" w:rsidRDefault="005B72B5" w:rsidP="00493985">
      <w:pPr>
        <w:pStyle w:val="2"/>
        <w:numPr>
          <w:ilvl w:val="1"/>
          <w:numId w:val="4"/>
        </w:numPr>
        <w:rPr>
          <w:lang w:eastAsia="zh-CN"/>
        </w:rPr>
      </w:pPr>
      <w:r>
        <w:rPr>
          <w:rFonts w:ascii="Arial" w:hAnsi="Arial" w:cs="Arial"/>
          <w:lang w:eastAsia="zh-CN"/>
        </w:rPr>
        <w:t>R</w:t>
      </w:r>
      <w:r w:rsidR="00493985" w:rsidRPr="00493985">
        <w:rPr>
          <w:rFonts w:ascii="Arial" w:hAnsi="Arial" w:cs="Arial"/>
          <w:lang w:eastAsia="zh-CN"/>
        </w:rPr>
        <w:t>esource indication to DU</w:t>
      </w:r>
    </w:p>
    <w:p w14:paraId="713CDC61" w14:textId="77777777" w:rsidR="007003AB" w:rsidRDefault="004F1E50" w:rsidP="00493985">
      <w:pPr>
        <w:rPr>
          <w:sz w:val="20"/>
          <w:szCs w:val="20"/>
          <w:lang w:eastAsia="zh-CN"/>
        </w:rPr>
      </w:pPr>
      <w:r w:rsidRPr="005B72B5">
        <w:rPr>
          <w:sz w:val="20"/>
          <w:szCs w:val="20"/>
          <w:lang w:eastAsia="zh-CN"/>
        </w:rPr>
        <w:t xml:space="preserve">There are 7 </w:t>
      </w:r>
      <w:r w:rsidR="005B72B5" w:rsidRPr="005B72B5">
        <w:rPr>
          <w:sz w:val="20"/>
          <w:szCs w:val="20"/>
          <w:lang w:eastAsia="zh-CN"/>
        </w:rPr>
        <w:t xml:space="preserve">semi-static resources </w:t>
      </w:r>
      <w:r w:rsidRPr="005B72B5">
        <w:rPr>
          <w:sz w:val="20"/>
          <w:szCs w:val="20"/>
          <w:lang w:eastAsia="zh-CN"/>
        </w:rPr>
        <w:t xml:space="preserve">types </w:t>
      </w:r>
      <w:r w:rsidR="004B17C4" w:rsidRPr="005B72B5">
        <w:rPr>
          <w:sz w:val="20"/>
          <w:szCs w:val="20"/>
          <w:lang w:eastAsia="zh-CN"/>
        </w:rPr>
        <w:t>for indication to DU: DL hard, Flexible hard, UL hard, DL soft, Flexible soft, UL soft, non-available. Here “hard” means that the resource usage can be determined by the DU part of the IAB node itself, and “soft” means that the resource used at the DU part of the IAB node is further indicated explicitly or implicitly by the parent node of the IAB node.</w:t>
      </w:r>
      <w:r w:rsidR="00635FFF" w:rsidRPr="005B72B5">
        <w:rPr>
          <w:sz w:val="20"/>
          <w:szCs w:val="20"/>
          <w:lang w:eastAsia="zh-CN"/>
        </w:rPr>
        <w:t xml:space="preserve"> </w:t>
      </w:r>
    </w:p>
    <w:p w14:paraId="10D737B8" w14:textId="55DC8068" w:rsidR="00493985" w:rsidRPr="005B72B5" w:rsidRDefault="007003AB" w:rsidP="00493985">
      <w:pPr>
        <w:rPr>
          <w:sz w:val="20"/>
          <w:szCs w:val="20"/>
          <w:lang w:eastAsia="zh-CN"/>
        </w:rPr>
      </w:pPr>
      <w:r>
        <w:rPr>
          <w:sz w:val="20"/>
          <w:szCs w:val="20"/>
          <w:lang w:eastAsia="zh-CN"/>
        </w:rPr>
        <w:t>From signaling perspective, DL hard, flexible hard, UL hard time domain resources should be indicated semi-statically.</w:t>
      </w:r>
    </w:p>
    <w:p w14:paraId="1710CF31" w14:textId="47956F98" w:rsidR="005B72B5" w:rsidRPr="005B72B5" w:rsidRDefault="005B72B5" w:rsidP="00493985">
      <w:pPr>
        <w:rPr>
          <w:sz w:val="20"/>
          <w:szCs w:val="20"/>
          <w:lang w:eastAsia="zh-CN"/>
        </w:rPr>
      </w:pPr>
      <w:r w:rsidRPr="005B72B5">
        <w:rPr>
          <w:sz w:val="20"/>
          <w:szCs w:val="20"/>
          <w:lang w:eastAsia="zh-CN"/>
        </w:rPr>
        <w:t>Regarding indication of the soft resources, there are two options:</w:t>
      </w:r>
    </w:p>
    <w:p w14:paraId="3DA0FE9C" w14:textId="6AEC849E" w:rsidR="00685C92" w:rsidRPr="005B72B5" w:rsidRDefault="005B72B5" w:rsidP="000A5308">
      <w:pPr>
        <w:pStyle w:val="af2"/>
        <w:numPr>
          <w:ilvl w:val="0"/>
          <w:numId w:val="12"/>
        </w:numPr>
        <w:rPr>
          <w:rFonts w:ascii="Times New Roman" w:hAnsi="Times New Roman"/>
          <w:sz w:val="20"/>
          <w:szCs w:val="20"/>
          <w:lang w:eastAsia="zh-CN"/>
        </w:rPr>
      </w:pPr>
      <w:r w:rsidRPr="005B72B5">
        <w:rPr>
          <w:rFonts w:ascii="Times New Roman" w:hAnsi="Times New Roman"/>
          <w:sz w:val="20"/>
          <w:szCs w:val="20"/>
          <w:lang w:eastAsia="zh-CN"/>
        </w:rPr>
        <w:t>Option 1: Indicate three types- DL soft, Flexible soft, UL soft by semi-static signaling and further indicate whether the “soft” is changed to “hard” or “non-available by dynamic signaling;</w:t>
      </w:r>
    </w:p>
    <w:p w14:paraId="0EA8964A" w14:textId="267A0C48" w:rsidR="005B72B5" w:rsidRPr="005B72B5" w:rsidRDefault="005B72B5" w:rsidP="000A5308">
      <w:pPr>
        <w:pStyle w:val="af2"/>
        <w:numPr>
          <w:ilvl w:val="0"/>
          <w:numId w:val="12"/>
        </w:numPr>
        <w:rPr>
          <w:rFonts w:ascii="Times New Roman" w:hAnsi="Times New Roman"/>
          <w:sz w:val="20"/>
          <w:szCs w:val="20"/>
          <w:lang w:eastAsia="zh-CN"/>
        </w:rPr>
      </w:pPr>
      <w:r w:rsidRPr="005B72B5">
        <w:rPr>
          <w:rFonts w:ascii="Times New Roman" w:hAnsi="Times New Roman"/>
          <w:sz w:val="20"/>
          <w:szCs w:val="20"/>
          <w:lang w:eastAsia="zh-CN"/>
        </w:rPr>
        <w:t>Option 2: Indicate only one type – soft by semi-static signaling and further indicate whether the “soft” is changed to DL hard, flexible hard, UL hard or non-available by dynamic signaling.</w:t>
      </w:r>
    </w:p>
    <w:p w14:paraId="504348B8" w14:textId="15ABD4A8" w:rsidR="00545234" w:rsidRDefault="00545234" w:rsidP="00493985">
      <w:pPr>
        <w:rPr>
          <w:sz w:val="20"/>
          <w:szCs w:val="20"/>
          <w:lang w:eastAsia="zh-CN"/>
        </w:rPr>
      </w:pPr>
      <w:r>
        <w:rPr>
          <w:rFonts w:hint="eastAsia"/>
          <w:sz w:val="20"/>
          <w:szCs w:val="20"/>
          <w:lang w:eastAsia="zh-CN"/>
        </w:rPr>
        <w:t xml:space="preserve">For Option 1, a DL soft resource can only be changed to be DL or non-available. </w:t>
      </w:r>
      <w:r>
        <w:rPr>
          <w:sz w:val="20"/>
          <w:szCs w:val="20"/>
          <w:lang w:eastAsia="zh-CN"/>
        </w:rPr>
        <w:t xml:space="preserve">In this case, only the ratio between DL and non-available is adjustable, </w:t>
      </w:r>
      <w:r>
        <w:rPr>
          <w:rFonts w:hint="eastAsia"/>
          <w:sz w:val="20"/>
          <w:szCs w:val="20"/>
          <w:lang w:eastAsia="zh-CN"/>
        </w:rPr>
        <w:t xml:space="preserve">and the ratio among DL, UL and flexible is determined semi-statically. </w:t>
      </w:r>
      <w:r>
        <w:rPr>
          <w:sz w:val="20"/>
          <w:szCs w:val="20"/>
          <w:lang w:eastAsia="zh-CN"/>
        </w:rPr>
        <w:t xml:space="preserve">While for Option 2, a soft resource can be changed to any of DL, UL, flexible and non-available, and the ratio among DL, UL, flexible, non-available can be adjusted efficiently </w:t>
      </w:r>
      <w:r w:rsidR="006825BF">
        <w:rPr>
          <w:sz w:val="20"/>
          <w:szCs w:val="20"/>
          <w:lang w:eastAsia="zh-CN"/>
        </w:rPr>
        <w:t xml:space="preserve">by dynamic signaling. </w:t>
      </w:r>
      <w:r>
        <w:rPr>
          <w:rFonts w:hint="eastAsia"/>
          <w:sz w:val="20"/>
          <w:szCs w:val="20"/>
          <w:lang w:eastAsia="zh-CN"/>
        </w:rPr>
        <w:t xml:space="preserve">As the traffic for different links and interference </w:t>
      </w:r>
      <w:r>
        <w:rPr>
          <w:sz w:val="20"/>
          <w:szCs w:val="20"/>
          <w:lang w:eastAsia="zh-CN"/>
        </w:rPr>
        <w:t>avoidance</w:t>
      </w:r>
      <w:r>
        <w:rPr>
          <w:rFonts w:hint="eastAsia"/>
          <w:sz w:val="20"/>
          <w:szCs w:val="20"/>
          <w:lang w:eastAsia="zh-CN"/>
        </w:rPr>
        <w:t xml:space="preserve"> </w:t>
      </w:r>
      <w:r>
        <w:rPr>
          <w:sz w:val="20"/>
          <w:szCs w:val="20"/>
          <w:lang w:eastAsia="zh-CN"/>
        </w:rPr>
        <w:t>for different links is dynamic, and Option 2 can offer more flexibility on resource allocation</w:t>
      </w:r>
      <w:r w:rsidR="006825BF">
        <w:rPr>
          <w:sz w:val="20"/>
          <w:szCs w:val="20"/>
          <w:lang w:eastAsia="zh-CN"/>
        </w:rPr>
        <w:t>, we slightly prefer Option 2.</w:t>
      </w:r>
    </w:p>
    <w:p w14:paraId="7C09E5ED" w14:textId="4BF4649F" w:rsidR="006825BF" w:rsidRPr="006825BF" w:rsidRDefault="006825BF" w:rsidP="00493985">
      <w:pPr>
        <w:rPr>
          <w:b/>
          <w:i/>
          <w:sz w:val="20"/>
          <w:szCs w:val="20"/>
          <w:lang w:eastAsia="zh-CN"/>
        </w:rPr>
      </w:pPr>
      <w:r w:rsidRPr="006825BF">
        <w:rPr>
          <w:b/>
          <w:i/>
          <w:sz w:val="20"/>
          <w:szCs w:val="20"/>
          <w:lang w:eastAsia="zh-CN"/>
        </w:rPr>
        <w:t>Proposal</w:t>
      </w:r>
      <w:r w:rsidR="004B52B8">
        <w:rPr>
          <w:b/>
          <w:i/>
          <w:sz w:val="20"/>
          <w:szCs w:val="20"/>
          <w:lang w:eastAsia="zh-CN"/>
        </w:rPr>
        <w:t xml:space="preserve"> 2</w:t>
      </w:r>
      <w:r w:rsidRPr="006825BF">
        <w:rPr>
          <w:b/>
          <w:i/>
          <w:sz w:val="20"/>
          <w:szCs w:val="20"/>
          <w:lang w:eastAsia="zh-CN"/>
        </w:rPr>
        <w:t xml:space="preserve">: DL soft, flexible soft, UL soft resources are indicated together as soft resources by semi-static signaling. Whether the soft resource is changed to be DL soft, UL soft, flexible soft or non-available is indicated further by dynamic signaling. </w:t>
      </w:r>
    </w:p>
    <w:p w14:paraId="61D59575" w14:textId="35747899" w:rsidR="007003AB" w:rsidRDefault="007003AB" w:rsidP="00493985">
      <w:pPr>
        <w:rPr>
          <w:sz w:val="20"/>
          <w:szCs w:val="20"/>
          <w:lang w:eastAsia="zh-CN"/>
        </w:rPr>
      </w:pPr>
      <w:r>
        <w:rPr>
          <w:rFonts w:hint="eastAsia"/>
          <w:sz w:val="20"/>
          <w:szCs w:val="20"/>
          <w:lang w:eastAsia="zh-CN"/>
        </w:rPr>
        <w:t xml:space="preserve">Regarding indication of non-available resources, both semi-static signaling and dynamic signaling will contribute to it. </w:t>
      </w:r>
      <w:r>
        <w:rPr>
          <w:sz w:val="20"/>
          <w:szCs w:val="20"/>
          <w:lang w:eastAsia="zh-CN"/>
        </w:rPr>
        <w:t xml:space="preserve">Some of the time domain resources can be indicated semi-statically as non-available similar as the indication to DL/UL/flexible hard resources. In addition to semi-static signaling, dynamic signaling can also indicate that some of </w:t>
      </w:r>
      <w:r>
        <w:rPr>
          <w:sz w:val="20"/>
          <w:szCs w:val="20"/>
          <w:lang w:eastAsia="zh-CN"/>
        </w:rPr>
        <w:lastRenderedPageBreak/>
        <w:t>the semi-statically indicated soft resources is changed to be non-available resources. This is another source of non-available resources.</w:t>
      </w:r>
    </w:p>
    <w:p w14:paraId="255C565F" w14:textId="40E15EE8" w:rsidR="007003AB" w:rsidRDefault="004A4B96" w:rsidP="00493985">
      <w:pPr>
        <w:rPr>
          <w:sz w:val="20"/>
          <w:szCs w:val="20"/>
          <w:lang w:eastAsia="zh-CN"/>
        </w:rPr>
      </w:pPr>
      <w:r>
        <w:rPr>
          <w:rFonts w:hint="eastAsia"/>
          <w:sz w:val="20"/>
          <w:szCs w:val="20"/>
          <w:lang w:eastAsia="zh-CN"/>
        </w:rPr>
        <w:t xml:space="preserve">Regarding </w:t>
      </w:r>
      <w:r>
        <w:rPr>
          <w:sz w:val="20"/>
          <w:szCs w:val="20"/>
          <w:lang w:eastAsia="zh-CN"/>
        </w:rPr>
        <w:t>indication</w:t>
      </w:r>
      <w:r>
        <w:rPr>
          <w:rFonts w:hint="eastAsia"/>
          <w:sz w:val="20"/>
          <w:szCs w:val="20"/>
          <w:lang w:eastAsia="zh-CN"/>
        </w:rPr>
        <w:t xml:space="preserve"> </w:t>
      </w:r>
      <w:r>
        <w:rPr>
          <w:sz w:val="20"/>
          <w:szCs w:val="20"/>
          <w:lang w:eastAsia="zh-CN"/>
        </w:rPr>
        <w:t xml:space="preserve">of whether the soft resource is to be DL, UL, flexible or non-available, dynamic signaling similar to DCI 2_0 can be reused. The dynamic signaling can only apply to the soft resources indicated by semi-static signaling. </w:t>
      </w:r>
      <w:r w:rsidR="00A6506C">
        <w:rPr>
          <w:sz w:val="20"/>
          <w:szCs w:val="20"/>
          <w:lang w:eastAsia="zh-CN"/>
        </w:rPr>
        <w:t>There are 4 types for indication: DL, UL, flexible, non-available. While legacy DCI 2_0 can only differentiate among three types: DL, UL, flexible, so enhancement to current slot format table or to DCI 2_0 is necessary. There are mainly two alternatives for indication of the 4 types:</w:t>
      </w:r>
    </w:p>
    <w:p w14:paraId="1D10C108" w14:textId="77777777" w:rsidR="00A6506C" w:rsidRPr="005E57A7" w:rsidRDefault="00A6506C" w:rsidP="000A5308">
      <w:pPr>
        <w:pStyle w:val="af2"/>
        <w:numPr>
          <w:ilvl w:val="0"/>
          <w:numId w:val="6"/>
        </w:numPr>
        <w:rPr>
          <w:rFonts w:ascii="Times New Roman" w:hAnsi="Times New Roman"/>
          <w:sz w:val="20"/>
          <w:szCs w:val="20"/>
          <w:lang w:eastAsia="zh-CN"/>
        </w:rPr>
      </w:pPr>
      <w:r w:rsidRPr="005E57A7">
        <w:rPr>
          <w:rFonts w:ascii="Times New Roman" w:hAnsi="Times New Roman"/>
          <w:sz w:val="20"/>
          <w:szCs w:val="20"/>
          <w:lang w:eastAsia="zh-CN"/>
        </w:rPr>
        <w:t>Alternative 1: Introduce new entries to the current slot format table</w:t>
      </w:r>
      <w:r>
        <w:rPr>
          <w:rFonts w:ascii="Times New Roman" w:hAnsi="Times New Roman"/>
          <w:sz w:val="20"/>
          <w:szCs w:val="20"/>
          <w:lang w:eastAsia="zh-CN"/>
        </w:rPr>
        <w:t xml:space="preserve"> in NR R15</w:t>
      </w:r>
      <w:r w:rsidRPr="005E57A7">
        <w:rPr>
          <w:rFonts w:ascii="Times New Roman" w:hAnsi="Times New Roman"/>
          <w:sz w:val="20"/>
          <w:szCs w:val="20"/>
          <w:lang w:eastAsia="zh-CN"/>
        </w:rPr>
        <w:t>.</w:t>
      </w:r>
    </w:p>
    <w:p w14:paraId="26CA0FF9" w14:textId="77777777" w:rsidR="00A6506C" w:rsidRPr="005E57A7" w:rsidRDefault="00A6506C" w:rsidP="000A5308">
      <w:pPr>
        <w:pStyle w:val="af2"/>
        <w:numPr>
          <w:ilvl w:val="0"/>
          <w:numId w:val="6"/>
        </w:numPr>
        <w:rPr>
          <w:rFonts w:ascii="Times New Roman" w:hAnsi="Times New Roman"/>
          <w:sz w:val="20"/>
          <w:szCs w:val="20"/>
          <w:lang w:eastAsia="zh-CN"/>
        </w:rPr>
      </w:pPr>
      <w:r w:rsidRPr="005E57A7">
        <w:rPr>
          <w:rFonts w:ascii="Times New Roman" w:hAnsi="Times New Roman"/>
          <w:sz w:val="20"/>
          <w:szCs w:val="20"/>
          <w:lang w:eastAsia="zh-CN"/>
        </w:rPr>
        <w:t>Alternative 2: 2 bits are used to indicate one of four states</w:t>
      </w:r>
      <w:r>
        <w:rPr>
          <w:rFonts w:ascii="Times New Roman" w:hAnsi="Times New Roman"/>
          <w:sz w:val="20"/>
          <w:szCs w:val="20"/>
          <w:lang w:eastAsia="zh-CN"/>
        </w:rPr>
        <w:t xml:space="preserve"> for each symbol group. RRC signaling is used to</w:t>
      </w:r>
      <w:r w:rsidRPr="005E57A7">
        <w:rPr>
          <w:rFonts w:ascii="Times New Roman" w:hAnsi="Times New Roman"/>
          <w:sz w:val="20"/>
          <w:szCs w:val="20"/>
          <w:lang w:eastAsia="zh-CN"/>
        </w:rPr>
        <w:t xml:space="preserve"> configure the payload position in DCI 2_0.</w:t>
      </w:r>
    </w:p>
    <w:p w14:paraId="30D3828C" w14:textId="77777777" w:rsidR="00A6506C" w:rsidRDefault="00A6506C" w:rsidP="00A6506C">
      <w:pPr>
        <w:rPr>
          <w:sz w:val="20"/>
          <w:szCs w:val="20"/>
          <w:lang w:eastAsia="zh-CN"/>
        </w:rPr>
      </w:pPr>
      <w:r>
        <w:rPr>
          <w:rFonts w:hint="eastAsia"/>
          <w:sz w:val="20"/>
          <w:szCs w:val="20"/>
          <w:lang w:eastAsia="zh-CN"/>
        </w:rPr>
        <w:t xml:space="preserve">Alternative </w:t>
      </w:r>
      <w:r>
        <w:rPr>
          <w:sz w:val="20"/>
          <w:szCs w:val="20"/>
          <w:lang w:eastAsia="zh-CN"/>
        </w:rPr>
        <w:t xml:space="preserve">1 </w:t>
      </w:r>
      <w:r>
        <w:rPr>
          <w:rFonts w:hint="eastAsia"/>
          <w:sz w:val="20"/>
          <w:szCs w:val="20"/>
          <w:lang w:eastAsia="zh-CN"/>
        </w:rPr>
        <w:t>can use the reserved state</w:t>
      </w:r>
      <w:r>
        <w:rPr>
          <w:sz w:val="20"/>
          <w:szCs w:val="20"/>
          <w:lang w:eastAsia="zh-CN"/>
        </w:rPr>
        <w:t>s</w:t>
      </w:r>
      <w:r>
        <w:rPr>
          <w:rFonts w:hint="eastAsia"/>
          <w:sz w:val="20"/>
          <w:szCs w:val="20"/>
          <w:lang w:eastAsia="zh-CN"/>
        </w:rPr>
        <w:t xml:space="preserve"> in R15 slot format table. </w:t>
      </w:r>
      <w:r>
        <w:rPr>
          <w:sz w:val="20"/>
          <w:szCs w:val="20"/>
          <w:lang w:eastAsia="zh-CN"/>
        </w:rPr>
        <w:t>However, the restriction is that the slot format is defined for each slot, and it always consumes 8 bits for slot format indication of a slot. For example, if the symbol group size is 7, Alternative 2 consumes only 4 bits for a slot, while Alternative 1 still uses 8 bits. And it needs specification work to pre-select possible slot formats to fill the slot format table.</w:t>
      </w:r>
    </w:p>
    <w:p w14:paraId="3D440C73" w14:textId="021F2B74" w:rsidR="00A6506C" w:rsidRDefault="00A6506C" w:rsidP="00A6506C">
      <w:pPr>
        <w:rPr>
          <w:sz w:val="20"/>
          <w:szCs w:val="20"/>
          <w:lang w:eastAsia="zh-CN"/>
        </w:rPr>
      </w:pPr>
      <w:r>
        <w:rPr>
          <w:sz w:val="20"/>
          <w:szCs w:val="20"/>
          <w:lang w:eastAsia="zh-CN"/>
        </w:rPr>
        <w:t>Alternative 2 is more flexible if combined with symbol group size configuration. In this case, each symbol group is indicated by 2 bits. The symbol group size can be 2 or 7, which can divide 14. The symbol group size can also be 3 or 4, if the number of slots to be indicated is multiples of 3 or 4 (e.g. 3 slots or 4 slots, respectively). So the number of indication bits for each slot on average depends on the size of symbol group size.</w:t>
      </w:r>
    </w:p>
    <w:p w14:paraId="76B87295" w14:textId="6D948167" w:rsidR="00A6506C" w:rsidRPr="00A6506C" w:rsidRDefault="00A6506C" w:rsidP="00493985">
      <w:pPr>
        <w:rPr>
          <w:b/>
          <w:i/>
          <w:sz w:val="20"/>
          <w:szCs w:val="20"/>
          <w:lang w:eastAsia="zh-CN"/>
        </w:rPr>
      </w:pPr>
      <w:r w:rsidRPr="00A6506C">
        <w:rPr>
          <w:rFonts w:hint="eastAsia"/>
          <w:b/>
          <w:i/>
          <w:sz w:val="20"/>
          <w:szCs w:val="20"/>
          <w:lang w:eastAsia="zh-CN"/>
        </w:rPr>
        <w:t>Proposal 3: Reuse DCI 2_0 to indicate 4 possible resource types (</w:t>
      </w:r>
      <w:r w:rsidRPr="00A6506C">
        <w:rPr>
          <w:b/>
          <w:i/>
          <w:sz w:val="20"/>
          <w:szCs w:val="20"/>
          <w:lang w:eastAsia="zh-CN"/>
        </w:rPr>
        <w:t>DL, UL, flexible, non-available</w:t>
      </w:r>
      <w:r w:rsidRPr="00A6506C">
        <w:rPr>
          <w:rFonts w:hint="eastAsia"/>
          <w:b/>
          <w:i/>
          <w:sz w:val="20"/>
          <w:szCs w:val="20"/>
          <w:lang w:eastAsia="zh-CN"/>
        </w:rPr>
        <w:t>)</w:t>
      </w:r>
      <w:r w:rsidRPr="00A6506C">
        <w:rPr>
          <w:b/>
          <w:i/>
          <w:sz w:val="20"/>
          <w:szCs w:val="20"/>
          <w:lang w:eastAsia="zh-CN"/>
        </w:rPr>
        <w:t xml:space="preserve"> for the soft resources indicated by semi-static signaling.</w:t>
      </w:r>
    </w:p>
    <w:p w14:paraId="787FEB21" w14:textId="77777777" w:rsidR="002D39E7" w:rsidRPr="00431551" w:rsidRDefault="00F931B7" w:rsidP="00431551">
      <w:pPr>
        <w:pStyle w:val="2"/>
        <w:ind w:left="992" w:hanging="567"/>
        <w:rPr>
          <w:rFonts w:ascii="Arial" w:hAnsi="Arial" w:cs="Arial"/>
          <w:lang w:eastAsia="zh-CN"/>
        </w:rPr>
      </w:pPr>
      <w:r w:rsidRPr="00431551">
        <w:rPr>
          <w:rFonts w:ascii="Arial" w:hAnsi="Arial" w:cs="Arial" w:hint="eastAsia"/>
          <w:lang w:eastAsia="zh-CN"/>
        </w:rPr>
        <w:t xml:space="preserve">2.3 </w:t>
      </w:r>
      <w:r w:rsidR="00431551" w:rsidRPr="00431551">
        <w:rPr>
          <w:rFonts w:ascii="Arial" w:hAnsi="Arial" w:cs="Arial"/>
          <w:lang w:eastAsia="zh-CN"/>
        </w:rPr>
        <w:t>Consideration o</w:t>
      </w:r>
      <w:r w:rsidR="001030FD">
        <w:rPr>
          <w:rFonts w:ascii="Arial" w:hAnsi="Arial" w:cs="Arial"/>
          <w:lang w:eastAsia="zh-CN"/>
        </w:rPr>
        <w:t>f</w:t>
      </w:r>
      <w:r w:rsidR="00431551" w:rsidRPr="00431551">
        <w:rPr>
          <w:rFonts w:ascii="Arial" w:hAnsi="Arial" w:cs="Arial"/>
          <w:lang w:eastAsia="zh-CN"/>
        </w:rPr>
        <w:t xml:space="preserve"> delay in a multi-hop IAB system</w:t>
      </w:r>
    </w:p>
    <w:p w14:paraId="5E6C5144" w14:textId="6FE99475" w:rsidR="008352B1" w:rsidRDefault="006119BA" w:rsidP="00BC7999">
      <w:pPr>
        <w:rPr>
          <w:sz w:val="20"/>
          <w:szCs w:val="20"/>
          <w:lang w:eastAsia="zh-CN"/>
        </w:rPr>
      </w:pPr>
      <w:r w:rsidRPr="006119BA">
        <w:rPr>
          <w:rFonts w:hint="eastAsia"/>
          <w:sz w:val="20"/>
          <w:szCs w:val="20"/>
          <w:lang w:eastAsia="zh-CN"/>
        </w:rPr>
        <w:t xml:space="preserve">In a </w:t>
      </w:r>
      <w:r>
        <w:rPr>
          <w:sz w:val="20"/>
          <w:szCs w:val="20"/>
          <w:lang w:eastAsia="zh-CN"/>
        </w:rPr>
        <w:t>multi-hop IAB system, when DCI 2_0 is used</w:t>
      </w:r>
      <w:r w:rsidR="003D774F">
        <w:rPr>
          <w:sz w:val="20"/>
          <w:szCs w:val="20"/>
          <w:lang w:eastAsia="zh-CN"/>
        </w:rPr>
        <w:t xml:space="preserve"> to indicate how to update the soft resources for a DU, </w:t>
      </w:r>
      <w:r>
        <w:rPr>
          <w:sz w:val="20"/>
          <w:szCs w:val="20"/>
          <w:lang w:eastAsia="zh-CN"/>
        </w:rPr>
        <w:t>, a child node</w:t>
      </w:r>
      <w:r w:rsidR="003D774F">
        <w:rPr>
          <w:sz w:val="20"/>
          <w:szCs w:val="20"/>
          <w:lang w:eastAsia="zh-CN"/>
        </w:rPr>
        <w:t>’s DU</w:t>
      </w:r>
      <w:r>
        <w:rPr>
          <w:sz w:val="20"/>
          <w:szCs w:val="20"/>
          <w:lang w:eastAsia="zh-CN"/>
        </w:rPr>
        <w:t xml:space="preserve"> needs to decode the DCI 2_0 first to determine the DCI 2_0 to be transmitted. There is processing delay and scheduling delay. The delay can be symbol level or slot level. </w:t>
      </w:r>
      <w:r w:rsidR="008352B1">
        <w:rPr>
          <w:sz w:val="20"/>
          <w:szCs w:val="20"/>
          <w:lang w:eastAsia="zh-CN"/>
        </w:rPr>
        <w:t>So the DCI 2_0 transmission occasion may be different for IAB nodes with different hop orders. The applicable symbols/slots may be also different for DCI 2_0 transmitted by IAB nodes with different hop orders.</w:t>
      </w:r>
    </w:p>
    <w:p w14:paraId="7C767657" w14:textId="77777777" w:rsidR="004D09FD" w:rsidRDefault="00147F13" w:rsidP="00BC7999">
      <w:pPr>
        <w:rPr>
          <w:sz w:val="20"/>
          <w:szCs w:val="20"/>
          <w:lang w:eastAsia="zh-CN"/>
        </w:rPr>
      </w:pPr>
      <w:r>
        <w:rPr>
          <w:rFonts w:hint="eastAsia"/>
          <w:sz w:val="20"/>
          <w:szCs w:val="20"/>
          <w:lang w:eastAsia="zh-CN"/>
        </w:rPr>
        <w:t>As shown in Fig 1 and Fig 2, there are two schemes:</w:t>
      </w:r>
    </w:p>
    <w:p w14:paraId="67A6E33C" w14:textId="77777777" w:rsidR="00147F13" w:rsidRPr="00147F13" w:rsidRDefault="00147F13" w:rsidP="000A5308">
      <w:pPr>
        <w:pStyle w:val="af2"/>
        <w:numPr>
          <w:ilvl w:val="0"/>
          <w:numId w:val="7"/>
        </w:numPr>
        <w:rPr>
          <w:rFonts w:ascii="Times New Roman" w:hAnsi="Times New Roman"/>
          <w:sz w:val="20"/>
          <w:szCs w:val="20"/>
          <w:lang w:eastAsia="zh-CN"/>
        </w:rPr>
      </w:pPr>
      <w:r w:rsidRPr="00147F13">
        <w:rPr>
          <w:rFonts w:ascii="Times New Roman" w:hAnsi="Times New Roman"/>
          <w:sz w:val="20"/>
          <w:szCs w:val="20"/>
          <w:lang w:eastAsia="zh-CN"/>
        </w:rPr>
        <w:t>Scheme 1:</w:t>
      </w:r>
      <w:r>
        <w:rPr>
          <w:rFonts w:ascii="Times New Roman" w:hAnsi="Times New Roman"/>
          <w:sz w:val="20"/>
          <w:szCs w:val="20"/>
          <w:lang w:eastAsia="zh-CN"/>
        </w:rPr>
        <w:t xml:space="preserve"> DCI 2_0 indicates the slot format for all slots/symbols between two adjacent DCI 2_0 transmission</w:t>
      </w:r>
      <w:r w:rsidR="00300ABF">
        <w:rPr>
          <w:rFonts w:ascii="Times New Roman" w:hAnsi="Times New Roman"/>
          <w:sz w:val="20"/>
          <w:szCs w:val="20"/>
          <w:lang w:eastAsia="zh-CN"/>
        </w:rPr>
        <w:t>s</w:t>
      </w:r>
      <w:r>
        <w:rPr>
          <w:rFonts w:ascii="Times New Roman" w:hAnsi="Times New Roman"/>
          <w:sz w:val="20"/>
          <w:szCs w:val="20"/>
          <w:lang w:eastAsia="zh-CN"/>
        </w:rPr>
        <w:t>.</w:t>
      </w:r>
    </w:p>
    <w:p w14:paraId="086869EA" w14:textId="77777777" w:rsidR="00147F13" w:rsidRDefault="00147F13" w:rsidP="000A5308">
      <w:pPr>
        <w:pStyle w:val="af2"/>
        <w:numPr>
          <w:ilvl w:val="0"/>
          <w:numId w:val="7"/>
        </w:numPr>
        <w:rPr>
          <w:rFonts w:ascii="Times New Roman" w:hAnsi="Times New Roman"/>
          <w:sz w:val="20"/>
          <w:szCs w:val="20"/>
          <w:lang w:eastAsia="zh-CN"/>
        </w:rPr>
      </w:pPr>
      <w:r w:rsidRPr="00147F13">
        <w:rPr>
          <w:rFonts w:ascii="Times New Roman" w:hAnsi="Times New Roman"/>
          <w:sz w:val="20"/>
          <w:szCs w:val="20"/>
          <w:lang w:eastAsia="zh-CN"/>
        </w:rPr>
        <w:t>Scheme 2</w:t>
      </w:r>
      <w:r>
        <w:rPr>
          <w:rFonts w:ascii="Times New Roman" w:hAnsi="Times New Roman"/>
          <w:sz w:val="20"/>
          <w:szCs w:val="20"/>
          <w:lang w:eastAsia="zh-CN"/>
        </w:rPr>
        <w:t xml:space="preserve">: DCI 2_0 indicates </w:t>
      </w:r>
      <w:r w:rsidR="00300ABF">
        <w:rPr>
          <w:rFonts w:ascii="Times New Roman" w:hAnsi="Times New Roman"/>
          <w:sz w:val="20"/>
          <w:szCs w:val="20"/>
          <w:lang w:eastAsia="zh-CN"/>
        </w:rPr>
        <w:t>the slot format for only the flexible slot/symbols between two adjacent DCI 2_0 transmissions.</w:t>
      </w:r>
    </w:p>
    <w:p w14:paraId="28B3E5D0" w14:textId="172BA3FA" w:rsidR="00300ABF" w:rsidRDefault="00300ABF" w:rsidP="00300ABF">
      <w:pPr>
        <w:rPr>
          <w:sz w:val="20"/>
          <w:szCs w:val="20"/>
          <w:lang w:eastAsia="zh-CN"/>
        </w:rPr>
      </w:pPr>
      <w:r>
        <w:rPr>
          <w:rFonts w:hint="eastAsia"/>
          <w:sz w:val="20"/>
          <w:szCs w:val="20"/>
          <w:lang w:eastAsia="zh-CN"/>
        </w:rPr>
        <w:t xml:space="preserve">For </w:t>
      </w:r>
      <w:r>
        <w:rPr>
          <w:sz w:val="20"/>
          <w:szCs w:val="20"/>
          <w:lang w:eastAsia="zh-CN"/>
        </w:rPr>
        <w:t>both schemes</w:t>
      </w:r>
      <w:r w:rsidR="003914FF">
        <w:rPr>
          <w:sz w:val="20"/>
          <w:szCs w:val="20"/>
          <w:lang w:eastAsia="zh-CN"/>
        </w:rPr>
        <w:t xml:space="preserve"> as shown in Fig 1 and Fig 2</w:t>
      </w:r>
      <w:r>
        <w:rPr>
          <w:rFonts w:hint="eastAsia"/>
          <w:sz w:val="20"/>
          <w:szCs w:val="20"/>
          <w:lang w:eastAsia="zh-CN"/>
        </w:rPr>
        <w:t xml:space="preserve">, </w:t>
      </w:r>
      <w:r>
        <w:rPr>
          <w:sz w:val="20"/>
          <w:szCs w:val="20"/>
          <w:lang w:eastAsia="zh-CN"/>
        </w:rPr>
        <w:t xml:space="preserve">symbol 0/1/2/3 of slot 0 are semi-static symbols, </w:t>
      </w:r>
      <w:r w:rsidR="003D774F">
        <w:rPr>
          <w:sz w:val="20"/>
          <w:szCs w:val="20"/>
          <w:lang w:eastAsia="zh-CN"/>
        </w:rPr>
        <w:t xml:space="preserve">and </w:t>
      </w:r>
      <w:r>
        <w:rPr>
          <w:sz w:val="20"/>
          <w:szCs w:val="20"/>
          <w:lang w:eastAsia="zh-CN"/>
        </w:rPr>
        <w:t>they are used for DCI 2_0 transmission for Node 0, Node 1, Node 2, Node 3, respectively. For example, symbol 2 of slot 0 is used by Node 2 to transmit DCI 2_0, then it can only be indicated by “A” for Node 1 and Node 3, and it can be indicated as downlink or uplink by Node 0. So we define symbol 0/1/2/3 of slot 0 as semi-static symbols/slots and others as flexible symbols/slots.</w:t>
      </w:r>
    </w:p>
    <w:p w14:paraId="1884320F" w14:textId="77777777" w:rsidR="00300ABF" w:rsidRPr="00300ABF" w:rsidRDefault="00300ABF" w:rsidP="00300ABF">
      <w:pPr>
        <w:rPr>
          <w:sz w:val="20"/>
          <w:szCs w:val="20"/>
          <w:lang w:eastAsia="zh-CN"/>
        </w:rPr>
      </w:pPr>
      <w:r>
        <w:rPr>
          <w:sz w:val="20"/>
          <w:szCs w:val="20"/>
          <w:lang w:eastAsia="zh-CN"/>
        </w:rPr>
        <w:t>For Scheme 1, DCI 2_0 is used to indicate both the semi-static and flexible slots/symbols, so the effective duration is between two starting symbols of adjacent DCI 2_0 transmissions. In NR R15, DCI 2_0 applied from the slot boundary rather than the symbol boundary, while in Scheme 1, if the DCI 2_0 transmitted by any of the IAB node is not starting from the slot boundary, then the indicated slot format should apply from the corresponding symbol boundary.</w:t>
      </w:r>
    </w:p>
    <w:p w14:paraId="22812698" w14:textId="77777777" w:rsidR="004D09FD" w:rsidRDefault="00147F13" w:rsidP="00BC7999">
      <w:pPr>
        <w:rPr>
          <w:sz w:val="20"/>
          <w:szCs w:val="20"/>
          <w:lang w:eastAsia="zh-CN"/>
        </w:rPr>
      </w:pPr>
      <w:r>
        <w:object w:dxaOrig="8871" w:dyaOrig="4393" w14:anchorId="76C2E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3pt;height:219.2pt" o:ole="">
            <v:imagedata r:id="rId8" o:title=""/>
          </v:shape>
          <o:OLEObject Type="Embed" ProgID="Visio.Drawing.11" ShapeID="_x0000_i1025" DrawAspect="Content" ObjectID="_1611635655" r:id="rId9"/>
        </w:object>
      </w:r>
    </w:p>
    <w:p w14:paraId="4FB25116" w14:textId="77777777" w:rsidR="004D09FD" w:rsidRDefault="00147F13" w:rsidP="0029608E">
      <w:pPr>
        <w:jc w:val="center"/>
        <w:rPr>
          <w:sz w:val="20"/>
          <w:szCs w:val="20"/>
          <w:lang w:eastAsia="zh-CN"/>
        </w:rPr>
      </w:pPr>
      <w:r>
        <w:rPr>
          <w:rFonts w:hint="eastAsia"/>
          <w:sz w:val="20"/>
          <w:szCs w:val="20"/>
          <w:lang w:eastAsia="zh-CN"/>
        </w:rPr>
        <w:t>Fig 1</w:t>
      </w:r>
      <w:r>
        <w:rPr>
          <w:sz w:val="20"/>
          <w:szCs w:val="20"/>
          <w:lang w:eastAsia="zh-CN"/>
        </w:rPr>
        <w:t>. Scheme 1</w:t>
      </w:r>
      <w:r w:rsidR="0029608E">
        <w:rPr>
          <w:sz w:val="20"/>
          <w:szCs w:val="20"/>
          <w:lang w:eastAsia="zh-CN"/>
        </w:rPr>
        <w:t xml:space="preserve"> to indicate both semi-static and flexible symbols/slots</w:t>
      </w:r>
    </w:p>
    <w:p w14:paraId="06DD97DB" w14:textId="77777777" w:rsidR="004D09FD" w:rsidRDefault="00300ABF" w:rsidP="00BC7999">
      <w:pPr>
        <w:rPr>
          <w:sz w:val="20"/>
          <w:szCs w:val="20"/>
          <w:lang w:eastAsia="zh-CN"/>
        </w:rPr>
      </w:pPr>
      <w:r>
        <w:rPr>
          <w:sz w:val="20"/>
          <w:szCs w:val="20"/>
          <w:lang w:eastAsia="zh-CN"/>
        </w:rPr>
        <w:t>F</w:t>
      </w:r>
      <w:r>
        <w:rPr>
          <w:rFonts w:hint="eastAsia"/>
          <w:sz w:val="20"/>
          <w:szCs w:val="20"/>
          <w:lang w:eastAsia="zh-CN"/>
        </w:rPr>
        <w:t xml:space="preserve">or </w:t>
      </w:r>
      <w:r>
        <w:rPr>
          <w:sz w:val="20"/>
          <w:szCs w:val="20"/>
          <w:lang w:eastAsia="zh-CN"/>
        </w:rPr>
        <w:t>Scheme 2, only the flexible sym</w:t>
      </w:r>
      <w:r w:rsidR="003914FF">
        <w:rPr>
          <w:sz w:val="20"/>
          <w:szCs w:val="20"/>
          <w:lang w:eastAsia="zh-CN"/>
        </w:rPr>
        <w:t>bols are indicated by DCI 2_0. The</w:t>
      </w:r>
      <w:r>
        <w:rPr>
          <w:sz w:val="20"/>
          <w:szCs w:val="20"/>
          <w:lang w:eastAsia="zh-CN"/>
        </w:rPr>
        <w:t xml:space="preserve"> cons over Scheme 1 is that the applicable range of DCI 2_0 is all the same for IAB nodes with different hop orders. However, there is </w:t>
      </w:r>
      <w:r w:rsidR="0029608E">
        <w:rPr>
          <w:sz w:val="20"/>
          <w:szCs w:val="20"/>
          <w:lang w:eastAsia="zh-CN"/>
        </w:rPr>
        <w:t>an offset between the DCI 2_0 transmission and the starting of the applicable range. And the offset depends on the hop order of the IAB node.</w:t>
      </w:r>
    </w:p>
    <w:p w14:paraId="7E175E62" w14:textId="77777777" w:rsidR="004D09FD" w:rsidRDefault="00147F13" w:rsidP="00BC7999">
      <w:r>
        <w:object w:dxaOrig="9297" w:dyaOrig="4354" w14:anchorId="2DC6E17F">
          <v:shape id="_x0000_i1026" type="#_x0000_t75" style="width:464.25pt;height:217.05pt" o:ole="">
            <v:imagedata r:id="rId10" o:title=""/>
          </v:shape>
          <o:OLEObject Type="Embed" ProgID="Visio.Drawing.11" ShapeID="_x0000_i1026" DrawAspect="Content" ObjectID="_1611635656" r:id="rId11"/>
        </w:object>
      </w:r>
    </w:p>
    <w:p w14:paraId="618CCDC9" w14:textId="77777777" w:rsidR="00147F13" w:rsidRPr="0029608E" w:rsidRDefault="00147F13" w:rsidP="0029608E">
      <w:pPr>
        <w:jc w:val="center"/>
        <w:rPr>
          <w:sz w:val="20"/>
          <w:szCs w:val="20"/>
          <w:lang w:eastAsia="zh-CN"/>
        </w:rPr>
      </w:pPr>
      <w:r w:rsidRPr="0029608E">
        <w:rPr>
          <w:sz w:val="20"/>
          <w:szCs w:val="20"/>
        </w:rPr>
        <w:t>Fig 2. Scheme 2</w:t>
      </w:r>
      <w:r w:rsidR="0029608E">
        <w:rPr>
          <w:sz w:val="20"/>
          <w:szCs w:val="20"/>
        </w:rPr>
        <w:t xml:space="preserve"> to indicate only the flexible symbols/slots</w:t>
      </w:r>
    </w:p>
    <w:p w14:paraId="71BF7F58" w14:textId="77748C42" w:rsidR="008352B1" w:rsidRPr="008352B1" w:rsidRDefault="008352B1" w:rsidP="00BC7999">
      <w:pPr>
        <w:rPr>
          <w:b/>
          <w:i/>
          <w:sz w:val="20"/>
          <w:szCs w:val="20"/>
          <w:lang w:eastAsia="zh-CN"/>
        </w:rPr>
      </w:pPr>
      <w:r w:rsidRPr="008352B1">
        <w:rPr>
          <w:b/>
          <w:i/>
          <w:sz w:val="20"/>
          <w:szCs w:val="20"/>
          <w:lang w:eastAsia="zh-CN"/>
        </w:rPr>
        <w:t xml:space="preserve">Proposal </w:t>
      </w:r>
      <w:r w:rsidR="003D774F">
        <w:rPr>
          <w:b/>
          <w:i/>
          <w:sz w:val="20"/>
          <w:szCs w:val="20"/>
          <w:lang w:eastAsia="zh-CN"/>
        </w:rPr>
        <w:t>4</w:t>
      </w:r>
      <w:r w:rsidRPr="008352B1">
        <w:rPr>
          <w:b/>
          <w:i/>
          <w:sz w:val="20"/>
          <w:szCs w:val="20"/>
          <w:lang w:eastAsia="zh-CN"/>
        </w:rPr>
        <w:t>: Study the</w:t>
      </w:r>
      <w:r w:rsidR="00D01D20">
        <w:rPr>
          <w:b/>
          <w:i/>
          <w:sz w:val="20"/>
          <w:szCs w:val="20"/>
          <w:lang w:eastAsia="zh-CN"/>
        </w:rPr>
        <w:t xml:space="preserve"> applicable range of DCI 2_0 when considering</w:t>
      </w:r>
      <w:r w:rsidRPr="008352B1">
        <w:rPr>
          <w:b/>
          <w:i/>
          <w:sz w:val="20"/>
          <w:szCs w:val="20"/>
          <w:lang w:eastAsia="zh-CN"/>
        </w:rPr>
        <w:t xml:space="preserve"> impact of DCI 2_0 processing delay in a multi-hop IAB system.</w:t>
      </w:r>
    </w:p>
    <w:p w14:paraId="5A853F50" w14:textId="77777777"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14:paraId="44DAD314" w14:textId="77777777" w:rsidR="00584A1C" w:rsidRDefault="00C82BDC" w:rsidP="00C82BDC">
      <w:pPr>
        <w:rPr>
          <w:sz w:val="20"/>
          <w:szCs w:val="20"/>
        </w:rPr>
      </w:pPr>
      <w:r w:rsidRPr="005931FF">
        <w:rPr>
          <w:sz w:val="20"/>
          <w:szCs w:val="20"/>
        </w:rPr>
        <w:t xml:space="preserve">In this contribution, we discussed the </w:t>
      </w:r>
      <w:r w:rsidR="00725E27">
        <w:rPr>
          <w:rFonts w:hint="eastAsia"/>
          <w:sz w:val="20"/>
          <w:szCs w:val="20"/>
          <w:lang w:eastAsia="zh-CN"/>
        </w:rPr>
        <w:t xml:space="preserve">resource partitioning between </w:t>
      </w:r>
      <w:r w:rsidR="001B0337">
        <w:rPr>
          <w:sz w:val="20"/>
          <w:szCs w:val="20"/>
          <w:lang w:eastAsia="zh-CN"/>
        </w:rPr>
        <w:t>parent backhaul</w:t>
      </w:r>
      <w:r w:rsidR="00725E27">
        <w:rPr>
          <w:rFonts w:hint="eastAsia"/>
          <w:sz w:val="20"/>
          <w:szCs w:val="20"/>
          <w:lang w:eastAsia="zh-CN"/>
        </w:rPr>
        <w:t xml:space="preserve"> link and </w:t>
      </w:r>
      <w:r w:rsidR="001B0337">
        <w:rPr>
          <w:rFonts w:hint="eastAsia"/>
          <w:sz w:val="20"/>
          <w:szCs w:val="20"/>
          <w:lang w:eastAsia="zh-CN"/>
        </w:rPr>
        <w:t>access</w:t>
      </w:r>
      <w:r w:rsidR="009D78DD">
        <w:rPr>
          <w:sz w:val="20"/>
          <w:szCs w:val="20"/>
          <w:lang w:eastAsia="zh-CN"/>
        </w:rPr>
        <w:t xml:space="preserve"> link</w:t>
      </w:r>
      <w:r w:rsidR="001B0337">
        <w:rPr>
          <w:rFonts w:hint="eastAsia"/>
          <w:sz w:val="20"/>
          <w:szCs w:val="20"/>
          <w:lang w:eastAsia="zh-CN"/>
        </w:rPr>
        <w:t>/child backhaul</w:t>
      </w:r>
      <w:r w:rsidR="00725E27">
        <w:rPr>
          <w:rFonts w:hint="eastAsia"/>
          <w:sz w:val="20"/>
          <w:szCs w:val="20"/>
          <w:lang w:eastAsia="zh-CN"/>
        </w:rPr>
        <w:t xml:space="preserve"> link for an IAB system</w:t>
      </w:r>
      <w:r w:rsidRPr="005931FF">
        <w:rPr>
          <w:sz w:val="20"/>
          <w:szCs w:val="20"/>
        </w:rPr>
        <w:t>, and our proposals are as following:</w:t>
      </w:r>
    </w:p>
    <w:p w14:paraId="284BC2F0" w14:textId="77777777" w:rsidR="00777C5A" w:rsidRDefault="00777C5A" w:rsidP="00777C5A">
      <w:pPr>
        <w:rPr>
          <w:b/>
          <w:i/>
          <w:sz w:val="20"/>
          <w:szCs w:val="20"/>
          <w:lang w:eastAsia="zh-CN"/>
        </w:rPr>
      </w:pPr>
      <w:r w:rsidRPr="00050E7A">
        <w:rPr>
          <w:b/>
          <w:i/>
          <w:sz w:val="20"/>
          <w:szCs w:val="20"/>
          <w:lang w:eastAsia="zh-CN"/>
        </w:rPr>
        <w:t xml:space="preserve">Proposal 1: </w:t>
      </w:r>
      <w:r>
        <w:rPr>
          <w:b/>
          <w:i/>
          <w:sz w:val="20"/>
          <w:szCs w:val="20"/>
          <w:lang w:eastAsia="zh-CN"/>
        </w:rPr>
        <w:t>Three states- DL, UL, flexible indicated to MT for resource indication is enough i</w:t>
      </w:r>
      <w:r w:rsidRPr="00050E7A">
        <w:rPr>
          <w:b/>
          <w:i/>
          <w:sz w:val="20"/>
          <w:szCs w:val="20"/>
          <w:lang w:eastAsia="zh-CN"/>
        </w:rPr>
        <w:t>f there is separate resource configuration for the DU part of the same IAB node.</w:t>
      </w:r>
    </w:p>
    <w:p w14:paraId="0529FAE8" w14:textId="77777777" w:rsidR="00777C5A" w:rsidRPr="006825BF" w:rsidRDefault="00777C5A" w:rsidP="00777C5A">
      <w:pPr>
        <w:rPr>
          <w:b/>
          <w:i/>
          <w:sz w:val="20"/>
          <w:szCs w:val="20"/>
          <w:lang w:eastAsia="zh-CN"/>
        </w:rPr>
      </w:pPr>
      <w:r w:rsidRPr="006825BF">
        <w:rPr>
          <w:b/>
          <w:i/>
          <w:sz w:val="20"/>
          <w:szCs w:val="20"/>
          <w:lang w:eastAsia="zh-CN"/>
        </w:rPr>
        <w:t>Proposal</w:t>
      </w:r>
      <w:r>
        <w:rPr>
          <w:b/>
          <w:i/>
          <w:sz w:val="20"/>
          <w:szCs w:val="20"/>
          <w:lang w:eastAsia="zh-CN"/>
        </w:rPr>
        <w:t xml:space="preserve"> 2</w:t>
      </w:r>
      <w:r w:rsidRPr="006825BF">
        <w:rPr>
          <w:b/>
          <w:i/>
          <w:sz w:val="20"/>
          <w:szCs w:val="20"/>
          <w:lang w:eastAsia="zh-CN"/>
        </w:rPr>
        <w:t xml:space="preserve">: DL soft, flexible soft, UL soft resources are indicated together as soft resources by semi-static signaling. Whether the soft resource is changed to be DL soft, UL soft, flexible soft or non-available is indicated further by dynamic signaling. </w:t>
      </w:r>
    </w:p>
    <w:p w14:paraId="19EC99E4" w14:textId="77777777" w:rsidR="00777C5A" w:rsidRPr="00A6506C" w:rsidRDefault="00777C5A" w:rsidP="00777C5A">
      <w:pPr>
        <w:rPr>
          <w:b/>
          <w:i/>
          <w:sz w:val="20"/>
          <w:szCs w:val="20"/>
          <w:lang w:eastAsia="zh-CN"/>
        </w:rPr>
      </w:pPr>
      <w:r w:rsidRPr="00A6506C">
        <w:rPr>
          <w:rFonts w:hint="eastAsia"/>
          <w:b/>
          <w:i/>
          <w:sz w:val="20"/>
          <w:szCs w:val="20"/>
          <w:lang w:eastAsia="zh-CN"/>
        </w:rPr>
        <w:lastRenderedPageBreak/>
        <w:t>Proposal 3: Reuse DCI 2_0 to indicate 4 possible resource types (</w:t>
      </w:r>
      <w:r w:rsidRPr="00A6506C">
        <w:rPr>
          <w:b/>
          <w:i/>
          <w:sz w:val="20"/>
          <w:szCs w:val="20"/>
          <w:lang w:eastAsia="zh-CN"/>
        </w:rPr>
        <w:t>DL, UL, flexible, non-available</w:t>
      </w:r>
      <w:r w:rsidRPr="00A6506C">
        <w:rPr>
          <w:rFonts w:hint="eastAsia"/>
          <w:b/>
          <w:i/>
          <w:sz w:val="20"/>
          <w:szCs w:val="20"/>
          <w:lang w:eastAsia="zh-CN"/>
        </w:rPr>
        <w:t>)</w:t>
      </w:r>
      <w:r w:rsidRPr="00A6506C">
        <w:rPr>
          <w:b/>
          <w:i/>
          <w:sz w:val="20"/>
          <w:szCs w:val="20"/>
          <w:lang w:eastAsia="zh-CN"/>
        </w:rPr>
        <w:t xml:space="preserve"> for the soft resources indicated by semi-static signaling.</w:t>
      </w:r>
    </w:p>
    <w:p w14:paraId="20983451" w14:textId="77777777" w:rsidR="00777C5A" w:rsidRPr="008352B1" w:rsidRDefault="00777C5A" w:rsidP="00777C5A">
      <w:pPr>
        <w:rPr>
          <w:b/>
          <w:i/>
          <w:sz w:val="20"/>
          <w:szCs w:val="20"/>
          <w:lang w:eastAsia="zh-CN"/>
        </w:rPr>
      </w:pPr>
      <w:r w:rsidRPr="008352B1">
        <w:rPr>
          <w:b/>
          <w:i/>
          <w:sz w:val="20"/>
          <w:szCs w:val="20"/>
          <w:lang w:eastAsia="zh-CN"/>
        </w:rPr>
        <w:t xml:space="preserve">Proposal </w:t>
      </w:r>
      <w:r>
        <w:rPr>
          <w:b/>
          <w:i/>
          <w:sz w:val="20"/>
          <w:szCs w:val="20"/>
          <w:lang w:eastAsia="zh-CN"/>
        </w:rPr>
        <w:t>4</w:t>
      </w:r>
      <w:r w:rsidRPr="008352B1">
        <w:rPr>
          <w:b/>
          <w:i/>
          <w:sz w:val="20"/>
          <w:szCs w:val="20"/>
          <w:lang w:eastAsia="zh-CN"/>
        </w:rPr>
        <w:t>: Study the</w:t>
      </w:r>
      <w:r>
        <w:rPr>
          <w:b/>
          <w:i/>
          <w:sz w:val="20"/>
          <w:szCs w:val="20"/>
          <w:lang w:eastAsia="zh-CN"/>
        </w:rPr>
        <w:t xml:space="preserve"> applicable range of DCI 2_0 when considering</w:t>
      </w:r>
      <w:r w:rsidRPr="008352B1">
        <w:rPr>
          <w:b/>
          <w:i/>
          <w:sz w:val="20"/>
          <w:szCs w:val="20"/>
          <w:lang w:eastAsia="zh-CN"/>
        </w:rPr>
        <w:t xml:space="preserve"> impact of DCI 2_0 processing delay in a multi-hop IAB system.</w:t>
      </w:r>
    </w:p>
    <w:p w14:paraId="64991668" w14:textId="77777777"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5FFD82F9" w14:textId="3455BC20" w:rsidR="00C82BDC" w:rsidRDefault="005E694A" w:rsidP="00016AB7">
      <w:pPr>
        <w:pStyle w:val="References"/>
        <w:rPr>
          <w:lang w:eastAsia="zh-CN"/>
        </w:rPr>
      </w:pPr>
      <w:r>
        <w:rPr>
          <w:rFonts w:hint="eastAsia"/>
          <w:lang w:eastAsia="zh-CN"/>
        </w:rPr>
        <w:t>3GPP RAN1 NR AH</w:t>
      </w:r>
      <w:r>
        <w:rPr>
          <w:lang w:eastAsia="zh-CN"/>
        </w:rPr>
        <w:t>#</w:t>
      </w:r>
      <w:r>
        <w:rPr>
          <w:rFonts w:hint="eastAsia"/>
          <w:lang w:eastAsia="zh-CN"/>
        </w:rPr>
        <w:t>1901</w:t>
      </w:r>
      <w:r w:rsidR="00C82BDC">
        <w:rPr>
          <w:rFonts w:hint="eastAsia"/>
          <w:lang w:eastAsia="zh-CN"/>
        </w:rPr>
        <w:t xml:space="preserve"> chairman notes</w:t>
      </w:r>
    </w:p>
    <w:p w14:paraId="155C8B8F" w14:textId="3BE286AC" w:rsidR="00B96597" w:rsidRPr="00B96597" w:rsidRDefault="00B96597" w:rsidP="00016AB7">
      <w:pPr>
        <w:pStyle w:val="References"/>
        <w:rPr>
          <w:lang w:eastAsia="zh-CN"/>
        </w:rPr>
      </w:pPr>
      <w:r w:rsidRPr="00B96597">
        <w:rPr>
          <w:lang w:eastAsia="zh-CN"/>
        </w:rPr>
        <w:t>3GPP RAN1</w:t>
      </w:r>
      <w:r>
        <w:rPr>
          <w:lang w:eastAsia="zh-CN"/>
        </w:rPr>
        <w:t>#95</w:t>
      </w:r>
      <w:r w:rsidRPr="00B96597">
        <w:rPr>
          <w:lang w:eastAsia="zh-CN"/>
        </w:rPr>
        <w:t xml:space="preserve"> chairman notes</w:t>
      </w:r>
    </w:p>
    <w:p w14:paraId="4ECAAE57" w14:textId="77777777" w:rsidR="00822F42" w:rsidRPr="00F64203" w:rsidRDefault="00822F42" w:rsidP="00016AB7">
      <w:pPr>
        <w:pStyle w:val="References"/>
        <w:rPr>
          <w:lang w:eastAsia="zh-CN"/>
        </w:rPr>
      </w:pPr>
      <w:r>
        <w:rPr>
          <w:rFonts w:hint="eastAsia"/>
          <w:lang w:eastAsia="zh-CN"/>
        </w:rPr>
        <w:t>RANP-18</w:t>
      </w:r>
      <w:r>
        <w:rPr>
          <w:lang w:eastAsia="zh-CN"/>
        </w:rPr>
        <w:t>2882, “</w:t>
      </w:r>
      <w:r w:rsidRPr="00F64203">
        <w:rPr>
          <w:lang w:eastAsia="zh-CN"/>
        </w:rPr>
        <w:t>New WID: Integrated Access and Backhaul for NR</w:t>
      </w:r>
      <w:r>
        <w:rPr>
          <w:lang w:eastAsia="zh-CN"/>
        </w:rPr>
        <w:t>”, 3GPP RANP#82</w:t>
      </w:r>
    </w:p>
    <w:p w14:paraId="1B967994" w14:textId="77777777"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68FCFB" w14:textId="77777777" w:rsidR="009B4CE9" w:rsidRDefault="009B4CE9">
      <w:r>
        <w:separator/>
      </w:r>
    </w:p>
  </w:endnote>
  <w:endnote w:type="continuationSeparator" w:id="0">
    <w:p w14:paraId="21AC58AF" w14:textId="77777777" w:rsidR="009B4CE9" w:rsidRDefault="009B4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A95891" w14:textId="77777777" w:rsidR="009B4CE9" w:rsidRDefault="009B4CE9">
      <w:r>
        <w:separator/>
      </w:r>
    </w:p>
  </w:footnote>
  <w:footnote w:type="continuationSeparator" w:id="0">
    <w:p w14:paraId="2DF88840" w14:textId="77777777" w:rsidR="009B4CE9" w:rsidRDefault="009B4C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9B32D5"/>
    <w:multiLevelType w:val="hybridMultilevel"/>
    <w:tmpl w:val="BB705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353557"/>
    <w:multiLevelType w:val="hybridMultilevel"/>
    <w:tmpl w:val="172A0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4"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5"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CC41894"/>
    <w:multiLevelType w:val="hybridMultilevel"/>
    <w:tmpl w:val="40F6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10"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9"/>
  </w:num>
  <w:num w:numId="4">
    <w:abstractNumId w:val="3"/>
  </w:num>
  <w:num w:numId="5">
    <w:abstractNumId w:val="6"/>
  </w:num>
  <w:num w:numId="6">
    <w:abstractNumId w:val="7"/>
  </w:num>
  <w:num w:numId="7">
    <w:abstractNumId w:val="0"/>
  </w:num>
  <w:num w:numId="8">
    <w:abstractNumId w:val="1"/>
  </w:num>
  <w:num w:numId="9">
    <w:abstractNumId w:val="11"/>
  </w:num>
  <w:num w:numId="10">
    <w:abstractNumId w:val="8"/>
  </w:num>
  <w:num w:numId="11">
    <w:abstractNumId w:val="5"/>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106"/>
    <w:rsid w:val="000D22CC"/>
    <w:rsid w:val="000D2A10"/>
    <w:rsid w:val="000D2E83"/>
    <w:rsid w:val="000D32E7"/>
    <w:rsid w:val="000D368E"/>
    <w:rsid w:val="000D36AE"/>
    <w:rsid w:val="000D38A1"/>
    <w:rsid w:val="000D3EF2"/>
    <w:rsid w:val="000D4208"/>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35E"/>
    <w:rsid w:val="00235542"/>
    <w:rsid w:val="00235AF6"/>
    <w:rsid w:val="00235DFB"/>
    <w:rsid w:val="00236183"/>
    <w:rsid w:val="00236289"/>
    <w:rsid w:val="0023636A"/>
    <w:rsid w:val="0023690D"/>
    <w:rsid w:val="002369B0"/>
    <w:rsid w:val="00236AD8"/>
    <w:rsid w:val="00236D8B"/>
    <w:rsid w:val="0023727C"/>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892"/>
    <w:rsid w:val="00344DC3"/>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5F"/>
    <w:rsid w:val="00426266"/>
    <w:rsid w:val="00426664"/>
    <w:rsid w:val="004267D0"/>
    <w:rsid w:val="00426C01"/>
    <w:rsid w:val="00426CA0"/>
    <w:rsid w:val="00426E27"/>
    <w:rsid w:val="00427C46"/>
    <w:rsid w:val="00430221"/>
    <w:rsid w:val="00430950"/>
    <w:rsid w:val="004309FA"/>
    <w:rsid w:val="00430A2D"/>
    <w:rsid w:val="00431350"/>
    <w:rsid w:val="00431505"/>
    <w:rsid w:val="00431551"/>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59B"/>
    <w:rsid w:val="00447787"/>
    <w:rsid w:val="00447963"/>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984"/>
    <w:rsid w:val="00456A0D"/>
    <w:rsid w:val="00456A32"/>
    <w:rsid w:val="00456D08"/>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B96"/>
    <w:rsid w:val="004A5046"/>
    <w:rsid w:val="004A565E"/>
    <w:rsid w:val="004A5DF3"/>
    <w:rsid w:val="004A612C"/>
    <w:rsid w:val="004A6134"/>
    <w:rsid w:val="004A6476"/>
    <w:rsid w:val="004A69BE"/>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79A"/>
    <w:rsid w:val="00501981"/>
    <w:rsid w:val="00501A85"/>
    <w:rsid w:val="00501BB3"/>
    <w:rsid w:val="0050213C"/>
    <w:rsid w:val="005021DD"/>
    <w:rsid w:val="00502696"/>
    <w:rsid w:val="005026CA"/>
    <w:rsid w:val="00502B72"/>
    <w:rsid w:val="00502FBD"/>
    <w:rsid w:val="00503518"/>
    <w:rsid w:val="00503725"/>
    <w:rsid w:val="0050415F"/>
    <w:rsid w:val="005046A2"/>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234"/>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5C2"/>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426A"/>
    <w:rsid w:val="0068436C"/>
    <w:rsid w:val="0068454C"/>
    <w:rsid w:val="00684C2A"/>
    <w:rsid w:val="00685352"/>
    <w:rsid w:val="0068545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87"/>
    <w:rsid w:val="0069599C"/>
    <w:rsid w:val="00696A32"/>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572"/>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B74"/>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8DD"/>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315"/>
    <w:rsid w:val="00AB0543"/>
    <w:rsid w:val="00AB07F3"/>
    <w:rsid w:val="00AB0AC9"/>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A0"/>
    <w:rsid w:val="00B505F4"/>
    <w:rsid w:val="00B5074C"/>
    <w:rsid w:val="00B51542"/>
    <w:rsid w:val="00B51D1D"/>
    <w:rsid w:val="00B52323"/>
    <w:rsid w:val="00B52567"/>
    <w:rsid w:val="00B52CF8"/>
    <w:rsid w:val="00B5310E"/>
    <w:rsid w:val="00B5323D"/>
    <w:rsid w:val="00B5372D"/>
    <w:rsid w:val="00B53A54"/>
    <w:rsid w:val="00B53BFD"/>
    <w:rsid w:val="00B53C93"/>
    <w:rsid w:val="00B53E46"/>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B62"/>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C"/>
    <w:rsid w:val="00C832DC"/>
    <w:rsid w:val="00C834B4"/>
    <w:rsid w:val="00C8377F"/>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576"/>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0AE9"/>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682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9D0"/>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link w:val="af2"/>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7EDCC" w:themeColor="background1"/>
        <w:left w:val="single" w:sz="4" w:space="0" w:color="C7EDCC" w:themeColor="background1"/>
        <w:bottom w:val="single" w:sz="4" w:space="0" w:color="C7EDCC" w:themeColor="background1"/>
        <w:right w:val="single" w:sz="4" w:space="0" w:color="C7EDCC" w:themeColor="background1"/>
        <w:insideH w:val="single" w:sz="4" w:space="0" w:color="C7EDCC" w:themeColor="background1"/>
        <w:insideV w:val="single" w:sz="4" w:space="0" w:color="C7EDCC" w:themeColor="background1"/>
      </w:tblBorders>
    </w:tblPr>
    <w:tcPr>
      <w:shd w:val="clear" w:color="auto" w:fill="DAEEF3" w:themeFill="accent5" w:themeFillTint="33"/>
    </w:tcPr>
    <w:tblStylePr w:type="firstRow">
      <w:rPr>
        <w:b/>
        <w:bCs/>
        <w:color w:val="C7EDCC" w:themeColor="background1"/>
      </w:rPr>
      <w:tblPr/>
      <w:tcPr>
        <w:tcBorders>
          <w:top w:val="single" w:sz="4" w:space="0" w:color="C7EDCC" w:themeColor="background1"/>
          <w:left w:val="single" w:sz="4" w:space="0" w:color="C7EDCC" w:themeColor="background1"/>
          <w:right w:val="single" w:sz="4" w:space="0" w:color="C7EDCC" w:themeColor="background1"/>
          <w:insideH w:val="nil"/>
          <w:insideV w:val="nil"/>
        </w:tcBorders>
        <w:shd w:val="clear" w:color="auto" w:fill="4BACC6" w:themeFill="accent5"/>
      </w:tcPr>
    </w:tblStylePr>
    <w:tblStylePr w:type="lastRow">
      <w:rPr>
        <w:b/>
        <w:bCs/>
        <w:color w:val="C7EDCC" w:themeColor="background1"/>
      </w:rPr>
      <w:tblPr/>
      <w:tcPr>
        <w:tcBorders>
          <w:left w:val="single" w:sz="4" w:space="0" w:color="C7EDCC" w:themeColor="background1"/>
          <w:bottom w:val="single" w:sz="4" w:space="0" w:color="C7EDCC" w:themeColor="background1"/>
          <w:right w:val="single" w:sz="4" w:space="0" w:color="C7EDCC" w:themeColor="background1"/>
          <w:insideH w:val="nil"/>
          <w:insideV w:val="nil"/>
        </w:tcBorders>
        <w:shd w:val="clear" w:color="auto" w:fill="4BACC6" w:themeFill="accent5"/>
      </w:tcPr>
    </w:tblStylePr>
    <w:tblStylePr w:type="firstCol">
      <w:rPr>
        <w:b/>
        <w:bCs/>
        <w:color w:val="C7EDCC" w:themeColor="background1"/>
      </w:rPr>
      <w:tblPr/>
      <w:tcPr>
        <w:tcBorders>
          <w:top w:val="single" w:sz="4" w:space="0" w:color="C7EDCC" w:themeColor="background1"/>
          <w:left w:val="single" w:sz="4" w:space="0" w:color="C7EDCC" w:themeColor="background1"/>
          <w:bottom w:val="single" w:sz="4" w:space="0" w:color="C7EDCC" w:themeColor="background1"/>
          <w:insideV w:val="nil"/>
        </w:tcBorders>
        <w:shd w:val="clear" w:color="auto" w:fill="4BACC6" w:themeFill="accent5"/>
      </w:tcPr>
    </w:tblStylePr>
    <w:tblStylePr w:type="lastCol">
      <w:rPr>
        <w:b/>
        <w:bCs/>
        <w:color w:val="C7EDCC" w:themeColor="background1"/>
      </w:rPr>
      <w:tblPr/>
      <w:tcPr>
        <w:tcBorders>
          <w:top w:val="single" w:sz="4" w:space="0" w:color="C7EDCC" w:themeColor="background1"/>
          <w:bottom w:val="single" w:sz="4" w:space="0" w:color="C7EDCC" w:themeColor="background1"/>
          <w:right w:val="single" w:sz="4" w:space="0" w:color="C7EDCC"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A46261-02BF-40A1-B649-B9D7C7D7E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1982</TotalTime>
  <Pages>8</Pages>
  <Words>2150</Words>
  <Characters>12259</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49</cp:revision>
  <cp:lastPrinted>2015-04-01T01:56:00Z</cp:lastPrinted>
  <dcterms:created xsi:type="dcterms:W3CDTF">2018-11-02T01:43:00Z</dcterms:created>
  <dcterms:modified xsi:type="dcterms:W3CDTF">2019-02-13T23:46:00Z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